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640" w:firstLineChars="200"/>
        <w:jc w:val="center"/>
        <w:rPr>
          <w:rFonts w:hint="eastAsia" w:ascii="微软雅黑" w:hAnsi="微软雅黑" w:eastAsia="微软雅黑" w:cs="微软雅黑"/>
          <w:i w:val="0"/>
          <w:caps w:val="0"/>
          <w:color w:val="222222"/>
          <w:spacing w:val="0"/>
          <w:sz w:val="32"/>
          <w:szCs w:val="32"/>
          <w:lang w:eastAsia="zh-CN"/>
        </w:rPr>
      </w:pPr>
      <w:r>
        <w:rPr>
          <w:rFonts w:hint="eastAsia" w:ascii="微软雅黑" w:hAnsi="微软雅黑" w:eastAsia="微软雅黑" w:cs="微软雅黑"/>
          <w:i w:val="0"/>
          <w:caps w:val="0"/>
          <w:color w:val="222222"/>
          <w:spacing w:val="0"/>
          <w:sz w:val="32"/>
          <w:szCs w:val="32"/>
          <w:lang w:eastAsia="zh-CN"/>
        </w:rPr>
        <w:t>准职中</w:t>
      </w:r>
      <w:r>
        <w:rPr>
          <w:rFonts w:hint="eastAsia" w:ascii="微软雅黑" w:hAnsi="微软雅黑" w:eastAsia="微软雅黑" w:cs="微软雅黑"/>
          <w:i w:val="0"/>
          <w:caps w:val="0"/>
          <w:color w:val="222222"/>
          <w:spacing w:val="0"/>
          <w:sz w:val="32"/>
          <w:szCs w:val="32"/>
          <w:lang w:val="en-US" w:eastAsia="zh-CN"/>
        </w:rPr>
        <w:t>2018年</w:t>
      </w:r>
      <w:bookmarkStart w:id="0" w:name="_GoBack"/>
      <w:bookmarkEnd w:id="0"/>
      <w:r>
        <w:rPr>
          <w:rFonts w:hint="eastAsia" w:ascii="微软雅黑" w:hAnsi="微软雅黑" w:eastAsia="微软雅黑" w:cs="微软雅黑"/>
          <w:i w:val="0"/>
          <w:caps w:val="0"/>
          <w:color w:val="222222"/>
          <w:spacing w:val="0"/>
          <w:sz w:val="32"/>
          <w:szCs w:val="32"/>
          <w:lang w:eastAsia="zh-CN"/>
        </w:rPr>
        <w:t>职教宣传周材料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ascii="微软雅黑" w:hAnsi="微软雅黑" w:eastAsia="微软雅黑" w:cs="微软雅黑"/>
          <w:i w:val="0"/>
          <w:caps w:val="0"/>
          <w:color w:val="333333"/>
          <w:spacing w:val="8"/>
          <w:sz w:val="25"/>
          <w:szCs w:val="25"/>
        </w:rPr>
      </w:pPr>
      <w:r>
        <w:rPr>
          <w:rFonts w:hint="eastAsia" w:ascii="微软雅黑" w:hAnsi="微软雅黑" w:eastAsia="微软雅黑" w:cs="微软雅黑"/>
          <w:i w:val="0"/>
          <w:caps w:val="0"/>
          <w:color w:val="333333"/>
          <w:spacing w:val="8"/>
          <w:sz w:val="25"/>
          <w:szCs w:val="25"/>
          <w:shd w:val="clear" w:fill="FFFFFF"/>
          <w:lang w:val="en-US" w:eastAsia="zh-CN"/>
        </w:rPr>
        <w:t>1、2018年</w:t>
      </w:r>
      <w:r>
        <w:rPr>
          <w:rFonts w:hint="eastAsia" w:ascii="微软雅黑" w:hAnsi="微软雅黑" w:eastAsia="微软雅黑" w:cs="微软雅黑"/>
          <w:i w:val="0"/>
          <w:caps w:val="0"/>
          <w:color w:val="333333"/>
          <w:spacing w:val="8"/>
          <w:sz w:val="25"/>
          <w:szCs w:val="25"/>
          <w:shd w:val="clear" w:fill="FFFFFF"/>
        </w:rPr>
        <w:t>5月6日，鄂尔多斯市职业教育活动周启动仪式在康巴什双驹广场举行。全市各职业院校围绕“职教改革四十年，产教融合育工匠”这一主题开展了形式多样、内容丰富的职教展示、交流和服务活动。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5"/>
          <w:szCs w:val="25"/>
          <w:lang w:eastAsia="zh-CN"/>
        </w:rPr>
      </w:pPr>
      <w:r>
        <w:rPr>
          <w:rFonts w:hint="eastAsia" w:ascii="微软雅黑" w:hAnsi="微软雅黑" w:eastAsia="微软雅黑" w:cs="微软雅黑"/>
          <w:i w:val="0"/>
          <w:caps w:val="0"/>
          <w:color w:val="333333"/>
          <w:spacing w:val="8"/>
          <w:sz w:val="25"/>
          <w:szCs w:val="25"/>
          <w:lang w:eastAsia="zh-CN"/>
        </w:rPr>
        <w:drawing>
          <wp:inline distT="0" distB="0" distL="114300" distR="114300">
            <wp:extent cx="5266690" cy="2964815"/>
            <wp:effectExtent l="0" t="0" r="10160" b="6985"/>
            <wp:docPr id="28" name="图片 28"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40.webp"/>
                    <pic:cNvPicPr>
                      <a:picLocks noChangeAspect="1"/>
                    </pic:cNvPicPr>
                  </pic:nvPicPr>
                  <pic:blipFill>
                    <a:blip r:embed="rId4"/>
                    <a:stretch>
                      <a:fillRect/>
                    </a:stretch>
                  </pic:blipFill>
                  <pic:spPr>
                    <a:xfrm>
                      <a:off x="0" y="0"/>
                      <a:ext cx="5266690" cy="296481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微软雅黑" w:hAnsi="微软雅黑" w:eastAsia="微软雅黑" w:cs="微软雅黑"/>
          <w:i w:val="0"/>
          <w:caps w:val="0"/>
          <w:color w:val="333333"/>
          <w:spacing w:val="8"/>
          <w:sz w:val="25"/>
          <w:szCs w:val="25"/>
        </w:rPr>
      </w:pPr>
      <w:r>
        <w:rPr>
          <w:rFonts w:hint="eastAsia" w:ascii="微软雅黑" w:hAnsi="微软雅黑" w:eastAsia="微软雅黑" w:cs="微软雅黑"/>
          <w:i w:val="0"/>
          <w:caps w:val="0"/>
          <w:color w:val="333333"/>
          <w:spacing w:val="8"/>
          <w:sz w:val="25"/>
          <w:szCs w:val="25"/>
          <w:shd w:val="clear" w:fill="FFFFFF"/>
        </w:rPr>
        <w:t>市教育局党组书记、局长高怀京来到准职中展位前参观师生作品，并饶有兴致地观看茶艺表演，体验茶道。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5"/>
          <w:szCs w:val="25"/>
          <w:lang w:eastAsia="zh-CN"/>
        </w:rPr>
      </w:pP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304800" cy="304800"/>
            <wp:effectExtent l="0" t="0" r="0" b="0"/>
            <wp:docPr id="19" name="图片 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304800" cy="304800"/>
            <wp:effectExtent l="0" t="0" r="0" b="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8"/>
          <w:sz w:val="25"/>
          <w:szCs w:val="25"/>
          <w:lang w:eastAsia="zh-CN"/>
        </w:rPr>
        <w:drawing>
          <wp:inline distT="0" distB="0" distL="114300" distR="114300">
            <wp:extent cx="5266690" cy="2962910"/>
            <wp:effectExtent l="0" t="0" r="10160" b="8890"/>
            <wp:docPr id="27" name="图片 27" descr="640.web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40.webp (1)"/>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微软雅黑" w:hAnsi="微软雅黑" w:eastAsia="微软雅黑" w:cs="微软雅黑"/>
          <w:i w:val="0"/>
          <w:caps w:val="0"/>
          <w:color w:val="333333"/>
          <w:spacing w:val="8"/>
          <w:sz w:val="25"/>
          <w:szCs w:val="25"/>
        </w:rPr>
      </w:pPr>
      <w:r>
        <w:rPr>
          <w:rFonts w:hint="eastAsia" w:ascii="微软雅黑" w:hAnsi="微软雅黑" w:eastAsia="微软雅黑" w:cs="微软雅黑"/>
          <w:i w:val="0"/>
          <w:caps w:val="0"/>
          <w:color w:val="333333"/>
          <w:spacing w:val="8"/>
          <w:sz w:val="25"/>
          <w:szCs w:val="25"/>
          <w:shd w:val="clear" w:fill="FFFFFF"/>
        </w:rPr>
        <w:t>准旗教体局副局长安晓红、职教股股长秦文茂、准职中校长陈宝生及17名师参加了本次职教周启动仪式。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5"/>
          <w:szCs w:val="25"/>
          <w:lang w:eastAsia="zh-CN"/>
        </w:rPr>
      </w:pP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304800" cy="304800"/>
            <wp:effectExtent l="0" t="0" r="0" b="0"/>
            <wp:docPr id="20" name="图片 2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8"/>
          <w:sz w:val="25"/>
          <w:szCs w:val="25"/>
          <w:lang w:eastAsia="zh-CN"/>
        </w:rPr>
        <w:drawing>
          <wp:inline distT="0" distB="0" distL="114300" distR="114300">
            <wp:extent cx="5273675" cy="2966720"/>
            <wp:effectExtent l="0" t="0" r="3175" b="5080"/>
            <wp:docPr id="29" name="图片 29" descr="640.web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40.webp (2)"/>
                    <pic:cNvPicPr>
                      <a:picLocks noChangeAspect="1"/>
                    </pic:cNvPicPr>
                  </pic:nvPicPr>
                  <pic:blipFill>
                    <a:blip r:embed="rId7"/>
                    <a:stretch>
                      <a:fillRect/>
                    </a:stretch>
                  </pic:blipFill>
                  <pic:spPr>
                    <a:xfrm>
                      <a:off x="0" y="0"/>
                      <a:ext cx="5273675" cy="296672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微软雅黑" w:hAnsi="微软雅黑" w:eastAsia="微软雅黑" w:cs="微软雅黑"/>
          <w:i w:val="0"/>
          <w:caps w:val="0"/>
          <w:color w:val="333333"/>
          <w:spacing w:val="8"/>
          <w:sz w:val="25"/>
          <w:szCs w:val="25"/>
        </w:rPr>
      </w:pPr>
      <w:r>
        <w:rPr>
          <w:rFonts w:hint="eastAsia" w:ascii="微软雅黑" w:hAnsi="微软雅黑" w:eastAsia="微软雅黑" w:cs="微软雅黑"/>
          <w:i w:val="0"/>
          <w:caps w:val="0"/>
          <w:color w:val="333333"/>
          <w:spacing w:val="8"/>
          <w:sz w:val="25"/>
          <w:szCs w:val="25"/>
          <w:shd w:val="clear" w:fill="FFFFFF"/>
        </w:rPr>
        <w:t>年年职教年年新，为筹备今年的职教周活动，准职中师生齐心协力，出新思，展新品，做了精心的准备。精美的手工艺品融入了环保和绿色的概念，呈现出青春的色彩。现代元素与传统茶艺相结合，使整个展台独特温馨，灵动雅致，引人驻足。同学们为驻足观赏者现场展示了茶艺、调酒、折纸花、香皂护手霜制作等技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5"/>
          <w:szCs w:val="25"/>
          <w:lang w:eastAsia="zh-CN"/>
        </w:rPr>
      </w:pP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304800" cy="304800"/>
            <wp:effectExtent l="0" t="0" r="0" b="0"/>
            <wp:docPr id="21" name="图片 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8"/>
          <w:sz w:val="25"/>
          <w:szCs w:val="25"/>
          <w:lang w:eastAsia="zh-CN"/>
        </w:rPr>
        <w:drawing>
          <wp:inline distT="0" distB="0" distL="114300" distR="114300">
            <wp:extent cx="5266690" cy="2962910"/>
            <wp:effectExtent l="0" t="0" r="10160" b="8890"/>
            <wp:docPr id="26" name="图片 26" descr="640.web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40.webp (3)"/>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微软雅黑" w:hAnsi="微软雅黑" w:eastAsia="微软雅黑" w:cs="微软雅黑"/>
          <w:i w:val="0"/>
          <w:caps w:val="0"/>
          <w:color w:val="222222"/>
          <w:spacing w:val="0"/>
          <w:sz w:val="32"/>
          <w:szCs w:val="32"/>
          <w:lang w:eastAsia="zh-CN"/>
        </w:rPr>
      </w:pPr>
      <w:r>
        <w:rPr>
          <w:rFonts w:hint="eastAsia" w:ascii="微软雅黑" w:hAnsi="微软雅黑" w:eastAsia="微软雅黑" w:cs="微软雅黑"/>
          <w:i w:val="0"/>
          <w:caps w:val="0"/>
          <w:color w:val="333333"/>
          <w:spacing w:val="8"/>
          <w:sz w:val="25"/>
          <w:szCs w:val="25"/>
          <w:shd w:val="clear" w:fill="FFFFFF"/>
        </w:rPr>
        <w:t>职业教育活动周是职教人的一次盛会，准职中将借此机会展示准旗职业教育的成果和风采，让全社会了解职教、体验职教、参与职教、共享职教。启动仪式结束后，准职中将开展“开放校园”“两走进”“专题讲座”等职教宣传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ascii="微软雅黑" w:hAnsi="微软雅黑" w:eastAsia="微软雅黑" w:cs="微软雅黑"/>
          <w:i w:val="0"/>
          <w:caps w:val="0"/>
          <w:color w:val="222222"/>
          <w:spacing w:val="0"/>
          <w:sz w:val="27"/>
          <w:szCs w:val="27"/>
        </w:rPr>
      </w:pPr>
      <w:r>
        <w:rPr>
          <w:rFonts w:hint="eastAsia" w:ascii="微软雅黑" w:hAnsi="微软雅黑" w:eastAsia="微软雅黑" w:cs="微软雅黑"/>
          <w:i w:val="0"/>
          <w:caps w:val="0"/>
          <w:color w:val="222222"/>
          <w:spacing w:val="0"/>
          <w:sz w:val="27"/>
          <w:szCs w:val="27"/>
          <w:lang w:val="en-US" w:eastAsia="zh-CN"/>
        </w:rPr>
        <w:t>2、</w:t>
      </w:r>
      <w:r>
        <w:rPr>
          <w:rFonts w:hint="eastAsia" w:ascii="微软雅黑" w:hAnsi="微软雅黑" w:eastAsia="微软雅黑" w:cs="微软雅黑"/>
          <w:i w:val="0"/>
          <w:caps w:val="0"/>
          <w:color w:val="222222"/>
          <w:spacing w:val="0"/>
          <w:sz w:val="27"/>
          <w:szCs w:val="27"/>
        </w:rPr>
        <w:t>5月12日上午，由旗教体局、旗职中共同举办的“职教改革四十年，产教融合育工匠”全国第四届职业教育宣传周暨2018年职业教育宣传活动在准格尔广场正式启动。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r>
        <w:rPr>
          <w:rFonts w:hint="eastAsia" w:ascii="微软雅黑" w:hAnsi="微软雅黑" w:eastAsia="微软雅黑" w:cs="微软雅黑"/>
          <w:i w:val="0"/>
          <w:caps w:val="0"/>
          <w:color w:val="222222"/>
          <w:spacing w:val="0"/>
          <w:sz w:val="27"/>
          <w:szCs w:val="27"/>
        </w:rPr>
        <w:t>旗领导张银银、赵永君，准格尔经济开发区、大路煤化工基地，旗直有关部门负责人，全旗各初级中学校长、旗职业高级中学部分师生等参加仪式。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r>
        <w:rPr>
          <w:rFonts w:hint="eastAsia" w:ascii="微软雅黑" w:hAnsi="微软雅黑" w:eastAsia="微软雅黑" w:cs="微软雅黑"/>
          <w:i w:val="0"/>
          <w:caps w:val="0"/>
          <w:color w:val="222222"/>
          <w:spacing w:val="0"/>
          <w:sz w:val="27"/>
          <w:szCs w:val="27"/>
        </w:rPr>
        <w:t>活动指出，近年来，准旗积极贯彻落实上级决策部署，高度重视职业教育发展，把中等职业教育发展纳入全旗经济发展和产业调整的整体规划中，相继出台了一系列地方性政策措施，在政策、资金、人员等方面给予充分保障，使准旗职业教育事业欣欣向荣，蓬勃发展，各项工作取得了显著成绩，成为全区一流的职业教育基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r>
        <w:rPr>
          <w:rFonts w:hint="eastAsia" w:ascii="微软雅黑" w:hAnsi="微软雅黑" w:eastAsia="微软雅黑" w:cs="微软雅黑"/>
          <w:i w:val="0"/>
          <w:caps w:val="0"/>
          <w:color w:val="222222"/>
          <w:spacing w:val="0"/>
          <w:sz w:val="27"/>
          <w:szCs w:val="27"/>
        </w:rPr>
        <w:t>活动强调，各相关部门要主动履职，加强部门联动，使职业教育活动周成为全社会共同推动职业教育改革创新的有利契机，真正把中央、自治区和市关于加快发展现代职业教育的决策部署落到实处，推动职业教育与经济社会同步规划、同步发展，与产业结构升级、技术更新换代和创新创业的时代需求更加契合。教体部门要立足服务全旗经济社会发展和培养应用型人才，进一步健全职业教育发展的体制机制，加大职业教育投入力度，不断加强和完善职业高中基础设施建设，改善学校办学条件。要加强政策引导和舆论宣传，大力弘扬劳动光荣、技能宝贵、创造伟大的时代风尚。旗职中要坚持立德树人，把社会主义核心价值观融入教育各环节，重视培育学生的职业素养和人文素养，促进学生德智体美劳全面发展，要创新培养模式，打造办学品牌。要提升学校治理水平，构建学校和企业多元参与的治理结构，形成有利于技术技能人才成长的管理模式和管理文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r>
        <w:rPr>
          <w:rFonts w:hint="eastAsia" w:ascii="微软雅黑" w:hAnsi="微软雅黑" w:eastAsia="微软雅黑" w:cs="微软雅黑"/>
          <w:i w:val="0"/>
          <w:caps w:val="0"/>
          <w:color w:val="222222"/>
          <w:spacing w:val="0"/>
          <w:sz w:val="27"/>
          <w:szCs w:val="27"/>
        </w:rPr>
        <w:t>活动现场设有计算机应用、化学工业、采矿、汽修、农学、护理、酒店管理、工艺美术等专业技能展示区。各展区由本专业师生团队通过技能演示、现场制作、作品展示等方式，充分展示了本专业优势、成果和技能风采。活动中，旗职业中学的师生还为在场观众带来了丰富多彩的文艺节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center"/>
        <w:rPr>
          <w:rFonts w:hint="eastAsia" w:ascii="微软雅黑" w:hAnsi="微软雅黑" w:eastAsia="微软雅黑" w:cs="微软雅黑"/>
          <w:b/>
          <w:bCs/>
          <w:i w:val="0"/>
          <w:caps w:val="0"/>
          <w:color w:val="222222"/>
          <w:spacing w:val="0"/>
          <w:sz w:val="28"/>
          <w:szCs w:val="28"/>
        </w:rPr>
      </w:pPr>
      <w:r>
        <w:rPr>
          <w:rFonts w:hint="eastAsia" w:ascii="微软雅黑" w:hAnsi="微软雅黑" w:eastAsia="微软雅黑" w:cs="微软雅黑"/>
          <w:i w:val="0"/>
          <w:caps w:val="0"/>
          <w:color w:val="222222"/>
          <w:spacing w:val="0"/>
          <w:sz w:val="27"/>
          <w:szCs w:val="27"/>
          <w:lang w:val="en-US" w:eastAsia="zh-CN"/>
        </w:rPr>
        <w:t>3</w:t>
      </w:r>
      <w:r>
        <w:rPr>
          <w:rFonts w:hint="eastAsia" w:ascii="微软雅黑" w:hAnsi="微软雅黑" w:eastAsia="微软雅黑" w:cs="微软雅黑"/>
          <w:b/>
          <w:bCs/>
          <w:i w:val="0"/>
          <w:caps w:val="0"/>
          <w:color w:val="222222"/>
          <w:spacing w:val="0"/>
          <w:sz w:val="28"/>
          <w:szCs w:val="28"/>
        </w:rPr>
        <w:t>共筑职教梦 喜迎十九大 一准旗职业高级中学职业教育活动周系列活动之企业送讲到校园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r>
        <w:rPr>
          <w:rFonts w:hint="eastAsia" w:ascii="微软雅黑" w:hAnsi="微软雅黑" w:eastAsia="微软雅黑" w:cs="微软雅黑"/>
          <w:i w:val="0"/>
          <w:caps w:val="0"/>
          <w:color w:val="222222"/>
          <w:spacing w:val="0"/>
          <w:sz w:val="27"/>
          <w:szCs w:val="27"/>
        </w:rPr>
        <w:t>在全社会弘扬劳动光荣、技能宝贵、创造伟大的时代风尚，形成"崇尚一技之长、不唯学历凭能力"的良好氛围。坚持以提高质量、促进就业、服务发展为导向，注重改革创新，深化产教融合，推动职业教育发展实现新跨越。以职业教育活动宣传周为契机，我校在以陈宝生校长为核心的领导班子积极筹措、多方协调，力促校企合作、产教融合。5月15日，大唐国际高铝煤炭资源开发利用研发中心常务副总经理、国家能源高铝煤炭资源开发利用重点实验室主任孙俊民博士，为我校高一、高二年级化工、机电和釆矿专业学生及化工、机电和釆矿专业的专业课教师做了＂煤炭转化与循环经济＂为主题的讲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480" w:firstLineChars="200"/>
        <w:jc w:val="left"/>
        <w:rPr>
          <w:rFonts w:hint="eastAsia" w:ascii="微软雅黑" w:hAnsi="微软雅黑" w:eastAsia="微软雅黑" w:cs="微软雅黑"/>
          <w:i w:val="0"/>
          <w:caps w:val="0"/>
          <w:color w:val="222222"/>
          <w:spacing w:val="0"/>
          <w:sz w:val="27"/>
          <w:szCs w:val="27"/>
        </w:rPr>
      </w:pPr>
      <w:r>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drawing>
          <wp:inline distT="0" distB="0" distL="114300" distR="114300">
            <wp:extent cx="5242560" cy="3936365"/>
            <wp:effectExtent l="0" t="0" r="15240" b="698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5242560" cy="393636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480" w:firstLineChars="200"/>
        <w:jc w:val="left"/>
        <w:rPr>
          <w:rFonts w:hint="eastAsia" w:ascii="微软雅黑" w:hAnsi="微软雅黑" w:eastAsia="微软雅黑" w:cs="微软雅黑"/>
          <w:i w:val="0"/>
          <w:caps w:val="0"/>
          <w:color w:val="222222"/>
          <w:spacing w:val="0"/>
          <w:sz w:val="27"/>
          <w:szCs w:val="27"/>
          <w:lang w:eastAsia="zh-CN"/>
        </w:rPr>
      </w:pPr>
      <w:r>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drawing>
          <wp:inline distT="0" distB="0" distL="114300" distR="114300">
            <wp:extent cx="5207000" cy="3902075"/>
            <wp:effectExtent l="0" t="0" r="12700" b="317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10"/>
                    <a:stretch>
                      <a:fillRect/>
                    </a:stretch>
                  </pic:blipFill>
                  <pic:spPr>
                    <a:xfrm>
                      <a:off x="0" y="0"/>
                      <a:ext cx="5207000" cy="39020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r>
        <w:rPr>
          <w:rFonts w:hint="eastAsia" w:ascii="微软雅黑" w:hAnsi="微软雅黑" w:eastAsia="微软雅黑" w:cs="微软雅黑"/>
          <w:i w:val="0"/>
          <w:caps w:val="0"/>
          <w:color w:val="222222"/>
          <w:spacing w:val="0"/>
          <w:sz w:val="27"/>
          <w:szCs w:val="27"/>
        </w:rPr>
        <w:t>学生全神贯注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480" w:firstLineChars="200"/>
        <w:jc w:val="left"/>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480" w:firstLineChars="200"/>
        <w:jc w:val="left"/>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pPr>
      <w:r>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drawing>
          <wp:inline distT="0" distB="0" distL="114300" distR="114300">
            <wp:extent cx="5335270" cy="3999230"/>
            <wp:effectExtent l="0" t="0" r="17780" b="127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1"/>
                    <a:stretch>
                      <a:fillRect/>
                    </a:stretch>
                  </pic:blipFill>
                  <pic:spPr>
                    <a:xfrm>
                      <a:off x="0" y="0"/>
                      <a:ext cx="5335270" cy="3999230"/>
                    </a:xfrm>
                    <a:prstGeom prst="rect">
                      <a:avLst/>
                    </a:prstGeom>
                    <a:noFill/>
                    <a:ln w="9525">
                      <a:noFill/>
                    </a:ln>
                  </pic:spPr>
                </pic:pic>
              </a:graphicData>
            </a:graphic>
          </wp:inline>
        </w:drawing>
      </w:r>
    </w:p>
    <w:p>
      <w:pPr>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pPr>
      <w:r>
        <w:rPr>
          <w:rFonts w:hint="eastAsia"/>
        </w:rPr>
        <w:t>专家精彩讲解1：高铝粉煤资源化利用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480" w:firstLineChars="200"/>
        <w:jc w:val="left"/>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pPr>
      <w:r>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drawing>
          <wp:inline distT="0" distB="0" distL="114300" distR="114300">
            <wp:extent cx="4625975" cy="3467735"/>
            <wp:effectExtent l="0" t="0" r="3175" b="1841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2"/>
                    <a:stretch>
                      <a:fillRect/>
                    </a:stretch>
                  </pic:blipFill>
                  <pic:spPr>
                    <a:xfrm>
                      <a:off x="0" y="0"/>
                      <a:ext cx="4625975" cy="3467735"/>
                    </a:xfrm>
                    <a:prstGeom prst="rect">
                      <a:avLst/>
                    </a:prstGeom>
                    <a:noFill/>
                    <a:ln w="9525">
                      <a:noFill/>
                    </a:ln>
                  </pic:spPr>
                </pic:pic>
              </a:graphicData>
            </a:graphic>
          </wp:inline>
        </w:drawing>
      </w:r>
    </w:p>
    <w:p>
      <w:pPr>
        <w:rPr>
          <w:rFonts w:hint="eastAsia"/>
        </w:rPr>
      </w:pPr>
      <w:r>
        <w:rPr>
          <w:rFonts w:hint="eastAsia"/>
        </w:rPr>
        <w:t>专家精彩讲解2:煤电铝技术思路与产业方</w:t>
      </w:r>
    </w:p>
    <w:p>
      <w:pPr>
        <w:rPr>
          <w:rFonts w:hint="eastAsia"/>
        </w:rPr>
      </w:pPr>
      <w:r>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drawing>
          <wp:inline distT="0" distB="0" distL="114300" distR="114300">
            <wp:extent cx="5237480" cy="3924935"/>
            <wp:effectExtent l="0" t="0" r="1270" b="1841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3"/>
                    <a:stretch>
                      <a:fillRect/>
                    </a:stretch>
                  </pic:blipFill>
                  <pic:spPr>
                    <a:xfrm>
                      <a:off x="0" y="0"/>
                      <a:ext cx="5237480" cy="3924935"/>
                    </a:xfrm>
                    <a:prstGeom prst="rect">
                      <a:avLst/>
                    </a:prstGeom>
                    <a:noFill/>
                    <a:ln w="9525">
                      <a:noFill/>
                    </a:ln>
                  </pic:spPr>
                </pic:pic>
              </a:graphicData>
            </a:graphic>
          </wp:inline>
        </w:drawing>
      </w:r>
    </w:p>
    <w:p>
      <w:pPr>
        <w:rPr>
          <w:rFonts w:hint="eastAsia"/>
        </w:rPr>
      </w:pPr>
      <w:r>
        <w:rPr>
          <w:rFonts w:hint="eastAsia"/>
        </w:rPr>
        <w:t>专业精彩讲解3：西部特色循环经济产业模式</w:t>
      </w:r>
    </w:p>
    <w:p>
      <w:pPr>
        <w:rPr>
          <w:rFonts w:hint="eastAsia"/>
        </w:rPr>
      </w:pPr>
    </w:p>
    <w:p>
      <w:pPr>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pPr>
      <w:r>
        <w:rPr>
          <w:rFonts w:hint="default" w:ascii="PingFangSC-Regular" w:hAnsi="PingFangSC-Regular" w:eastAsia="PingFangSC-Regular" w:cs="PingFangSC-Regular"/>
          <w:i w:val="0"/>
          <w:caps w:val="0"/>
          <w:color w:val="24308E"/>
          <w:spacing w:val="0"/>
          <w:kern w:val="0"/>
          <w:sz w:val="24"/>
          <w:szCs w:val="24"/>
          <w:shd w:val="clear" w:fill="90A0F4"/>
          <w:lang w:val="en-US" w:eastAsia="zh-CN" w:bidi="ar"/>
        </w:rPr>
        <w:drawing>
          <wp:inline distT="0" distB="0" distL="114300" distR="114300">
            <wp:extent cx="5238115" cy="3926205"/>
            <wp:effectExtent l="0" t="0" r="635" b="1714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4"/>
                    <a:stretch>
                      <a:fillRect/>
                    </a:stretch>
                  </pic:blipFill>
                  <pic:spPr>
                    <a:xfrm>
                      <a:off x="0" y="0"/>
                      <a:ext cx="5238115" cy="3926205"/>
                    </a:xfrm>
                    <a:prstGeom prst="rect">
                      <a:avLst/>
                    </a:prstGeom>
                    <a:noFill/>
                    <a:ln w="9525">
                      <a:noFill/>
                    </a:ln>
                  </pic:spPr>
                </pic:pic>
              </a:graphicData>
            </a:graphic>
          </wp:inline>
        </w:drawing>
      </w:r>
    </w:p>
    <w:p>
      <w:pPr>
        <w:rPr>
          <w:rFonts w:hint="eastAsia"/>
        </w:rPr>
      </w:pPr>
      <w:r>
        <w:rPr>
          <w:rFonts w:hint="eastAsia"/>
        </w:rPr>
        <w:t>专家精彩讲解4：内蒙古自治区产业战略规划</w:t>
      </w:r>
    </w:p>
    <w:p>
      <w:pPr>
        <w:ind w:firstLine="560" w:firstLineChars="200"/>
        <w:rPr>
          <w:rFonts w:hint="eastAsia"/>
          <w:b/>
          <w:bCs/>
          <w:sz w:val="28"/>
          <w:szCs w:val="36"/>
        </w:rPr>
      </w:pPr>
      <w:r>
        <w:rPr>
          <w:rFonts w:hint="eastAsia"/>
          <w:sz w:val="28"/>
          <w:szCs w:val="36"/>
        </w:rPr>
        <w:t>孙博士高屋建瓴从国家战略到地方发展规划再到地区资源特点纵向分析，细致入微从煤的形成、分类到煤的成分特点再到煤的普通利用、循环转化利用横向讲解。既有专业知识讲解，我们相信以职业教育活动周为契机，在大力宣传职业教育的同时，我校更会趁势而上将办学水平推上一个新的高度</w:t>
      </w:r>
    </w:p>
    <w:p>
      <w:pPr>
        <w:numPr>
          <w:ilvl w:val="0"/>
          <w:numId w:val="0"/>
        </w:numPr>
        <w:jc w:val="center"/>
        <w:rPr>
          <w:rFonts w:hint="eastAsia"/>
          <w:b/>
          <w:bCs/>
          <w:sz w:val="28"/>
          <w:szCs w:val="36"/>
          <w:lang w:eastAsia="zh-CN"/>
        </w:rPr>
      </w:pPr>
      <w:r>
        <w:rPr>
          <w:rFonts w:hint="eastAsia"/>
          <w:b/>
          <w:bCs/>
          <w:sz w:val="28"/>
          <w:szCs w:val="36"/>
          <w:lang w:val="en-US" w:eastAsia="zh-CN"/>
        </w:rPr>
        <w:t>5、</w:t>
      </w:r>
      <w:r>
        <w:rPr>
          <w:rFonts w:hint="eastAsia"/>
          <w:b/>
          <w:bCs/>
          <w:sz w:val="28"/>
          <w:szCs w:val="36"/>
        </w:rPr>
        <w:t>推动中高职教育合作</w:t>
      </w:r>
      <w:r>
        <w:rPr>
          <w:rFonts w:hint="eastAsia"/>
          <w:b/>
          <w:bCs/>
          <w:sz w:val="28"/>
          <w:szCs w:val="36"/>
          <w:lang w:eastAsia="zh-CN"/>
        </w:rPr>
        <w:t>，</w:t>
      </w:r>
      <w:r>
        <w:rPr>
          <w:rFonts w:hint="eastAsia"/>
          <w:b/>
          <w:bCs/>
          <w:sz w:val="28"/>
          <w:szCs w:val="36"/>
        </w:rPr>
        <w:t>共同开展职教周活动</w:t>
      </w:r>
    </w:p>
    <w:p>
      <w:pPr>
        <w:numPr>
          <w:ilvl w:val="0"/>
          <w:numId w:val="0"/>
        </w:numPr>
        <w:jc w:val="right"/>
        <w:rPr>
          <w:rFonts w:hint="eastAsia" w:eastAsiaTheme="minorEastAsia"/>
          <w:b/>
          <w:bCs/>
          <w:sz w:val="28"/>
          <w:szCs w:val="36"/>
          <w:lang w:eastAsia="zh-CN"/>
        </w:rPr>
      </w:pPr>
      <w:r>
        <w:rPr>
          <w:rFonts w:hint="eastAsia"/>
          <w:b/>
          <w:bCs/>
          <w:sz w:val="28"/>
          <w:szCs w:val="36"/>
          <w:lang w:val="en-US" w:eastAsia="zh-CN"/>
        </w:rPr>
        <w:t>-------</w:t>
      </w:r>
      <w:r>
        <w:rPr>
          <w:rFonts w:hint="eastAsia"/>
          <w:b/>
          <w:bCs/>
          <w:sz w:val="28"/>
          <w:szCs w:val="36"/>
        </w:rPr>
        <w:t>准旗职业高中</w:t>
      </w:r>
      <w:r>
        <w:rPr>
          <w:rFonts w:hint="eastAsia"/>
          <w:b/>
          <w:bCs/>
          <w:sz w:val="28"/>
          <w:szCs w:val="36"/>
          <w:lang w:eastAsia="zh-CN"/>
        </w:rPr>
        <w:t>在鄂尔多斯职业技术学</w:t>
      </w:r>
      <w:r>
        <w:rPr>
          <w:rFonts w:hint="eastAsia"/>
          <w:b/>
          <w:bCs/>
          <w:sz w:val="28"/>
          <w:szCs w:val="36"/>
        </w:rPr>
        <w:t>院</w:t>
      </w:r>
      <w:r>
        <w:rPr>
          <w:rFonts w:hint="eastAsia"/>
          <w:b/>
          <w:bCs/>
          <w:sz w:val="28"/>
          <w:szCs w:val="36"/>
          <w:lang w:eastAsia="zh-CN"/>
        </w:rPr>
        <w:t>展开研学活动</w:t>
      </w:r>
    </w:p>
    <w:p>
      <w:pPr>
        <w:rPr>
          <w:i w:val="0"/>
          <w:caps w:val="0"/>
          <w:color w:val="24308E"/>
          <w:spacing w:val="0"/>
          <w:sz w:val="25"/>
          <w:szCs w:val="25"/>
          <w:shd w:val="clear" w:fill="90A0F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lang w:eastAsia="zh-CN"/>
        </w:rPr>
        <w:t>为</w:t>
      </w:r>
      <w:r>
        <w:rPr>
          <w:rFonts w:hint="eastAsia" w:ascii="微软雅黑" w:hAnsi="微软雅黑" w:eastAsia="微软雅黑" w:cs="微软雅黑"/>
          <w:i w:val="0"/>
          <w:caps w:val="0"/>
          <w:color w:val="000000"/>
          <w:spacing w:val="0"/>
          <w:sz w:val="24"/>
          <w:szCs w:val="24"/>
        </w:rPr>
        <w:t>进一步加强生源基地建设，搭建中高职衔接立交桥，全国职业教育活动周期间，准旗职业高级中学汽车运用与维修技术专业39名学生来</w:t>
      </w:r>
      <w:r>
        <w:rPr>
          <w:rFonts w:hint="eastAsia" w:ascii="微软雅黑" w:hAnsi="微软雅黑" w:eastAsia="微软雅黑" w:cs="微软雅黑"/>
          <w:i w:val="0"/>
          <w:caps w:val="0"/>
          <w:color w:val="000000"/>
          <w:spacing w:val="0"/>
          <w:sz w:val="24"/>
          <w:szCs w:val="24"/>
          <w:lang w:eastAsia="zh-CN"/>
        </w:rPr>
        <w:t>到鄂尔多斯职业技术学院</w:t>
      </w:r>
      <w:r>
        <w:rPr>
          <w:rFonts w:hint="eastAsia" w:ascii="微软雅黑" w:hAnsi="微软雅黑" w:eastAsia="微软雅黑" w:cs="微软雅黑"/>
          <w:i w:val="0"/>
          <w:caps w:val="0"/>
          <w:color w:val="000000"/>
          <w:spacing w:val="0"/>
          <w:sz w:val="24"/>
          <w:szCs w:val="24"/>
        </w:rPr>
        <w:t>进行为期一周的交流访学活动。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caps w:val="0"/>
          <w:color w:val="000000"/>
          <w:spacing w:val="0"/>
          <w:sz w:val="24"/>
          <w:szCs w:val="24"/>
          <w:lang w:eastAsia="zh-CN"/>
        </w:rPr>
      </w:pPr>
      <w:r>
        <w:rPr>
          <w:rFonts w:hint="eastAsia" w:ascii="微软雅黑" w:hAnsi="微软雅黑" w:eastAsia="微软雅黑" w:cs="微软雅黑"/>
          <w:i w:val="0"/>
          <w:caps w:val="0"/>
          <w:color w:val="000000"/>
          <w:spacing w:val="0"/>
          <w:sz w:val="24"/>
          <w:szCs w:val="24"/>
        </w:rPr>
        <w:t>七天的技能交流中，围绕汽车发动机、底盘、电器构造与检修，汽车发动机电控系统结构认知、传感器检测，以及整车各系统构造和全车线路认知等内容，准旗职业高中的学生</w:t>
      </w:r>
      <w:r>
        <w:rPr>
          <w:rFonts w:hint="eastAsia" w:ascii="微软雅黑" w:hAnsi="微软雅黑" w:eastAsia="微软雅黑" w:cs="微软雅黑"/>
          <w:i w:val="0"/>
          <w:caps w:val="0"/>
          <w:color w:val="000000"/>
          <w:spacing w:val="0"/>
          <w:sz w:val="24"/>
          <w:szCs w:val="24"/>
          <w:lang w:eastAsia="zh-CN"/>
        </w:rPr>
        <w:t>得到了</w:t>
      </w:r>
      <w:r>
        <w:rPr>
          <w:rFonts w:hint="eastAsia" w:ascii="微软雅黑" w:hAnsi="微软雅黑" w:eastAsia="微软雅黑" w:cs="微软雅黑"/>
          <w:i w:val="0"/>
          <w:caps w:val="0"/>
          <w:color w:val="000000"/>
          <w:spacing w:val="0"/>
          <w:sz w:val="24"/>
          <w:szCs w:val="24"/>
        </w:rPr>
        <w:t>系统讲解</w:t>
      </w:r>
      <w:r>
        <w:rPr>
          <w:rFonts w:hint="eastAsia" w:ascii="微软雅黑" w:hAnsi="微软雅黑" w:eastAsia="微软雅黑" w:cs="微软雅黑"/>
          <w:i w:val="0"/>
          <w:caps w:val="0"/>
          <w:color w:val="000000"/>
          <w:spacing w:val="0"/>
          <w:sz w:val="24"/>
          <w:szCs w:val="24"/>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rPr>
        <w:t>院校之间就进一步加深校际合作进行了深入交流,共同分享了在的办学过程经验、做法及成效，为探索职教发展、建立招生合作双赢机制提供有益探索。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i w:val="0"/>
          <w:caps w:val="0"/>
          <w:color w:val="000000"/>
          <w:spacing w:val="0"/>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rPr>
        <w:drawing>
          <wp:inline distT="0" distB="0" distL="114300" distR="114300">
            <wp:extent cx="4762500" cy="3571875"/>
            <wp:effectExtent l="0" t="0" r="0" b="9525"/>
            <wp:docPr id="1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6"/>
                    <pic:cNvPicPr>
                      <a:picLocks noChangeAspect="1"/>
                    </pic:cNvPicPr>
                  </pic:nvPicPr>
                  <pic:blipFill>
                    <a:blip r:embed="rId15"/>
                    <a:stretch>
                      <a:fillRect/>
                    </a:stretch>
                  </pic:blipFill>
                  <pic:spPr>
                    <a:xfrm>
                      <a:off x="0" y="0"/>
                      <a:ext cx="4762500" cy="3571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rPr>
        <w:drawing>
          <wp:inline distT="0" distB="0" distL="114300" distR="114300">
            <wp:extent cx="4762500" cy="3571875"/>
            <wp:effectExtent l="0" t="0" r="0" b="9525"/>
            <wp:docPr id="15"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7"/>
                    <pic:cNvPicPr>
                      <a:picLocks noChangeAspect="1"/>
                    </pic:cNvPicPr>
                  </pic:nvPicPr>
                  <pic:blipFill>
                    <a:blip r:embed="rId16"/>
                    <a:stretch>
                      <a:fillRect/>
                    </a:stretch>
                  </pic:blipFill>
                  <pic:spPr>
                    <a:xfrm>
                      <a:off x="0" y="0"/>
                      <a:ext cx="4762500" cy="3571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rPr>
        <w:drawing>
          <wp:inline distT="0" distB="0" distL="114300" distR="114300">
            <wp:extent cx="4762500" cy="3571875"/>
            <wp:effectExtent l="0" t="0" r="0" b="9525"/>
            <wp:docPr id="14" name="图片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58"/>
                    <pic:cNvPicPr>
                      <a:picLocks noChangeAspect="1"/>
                    </pic:cNvPicPr>
                  </pic:nvPicPr>
                  <pic:blipFill>
                    <a:blip r:embed="rId17"/>
                    <a:stretch>
                      <a:fillRect/>
                    </a:stretch>
                  </pic:blipFill>
                  <pic:spPr>
                    <a:xfrm>
                      <a:off x="0" y="0"/>
                      <a:ext cx="4762500" cy="3571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rPr>
        <w:drawing>
          <wp:inline distT="0" distB="0" distL="114300" distR="114300">
            <wp:extent cx="4762500" cy="3571875"/>
            <wp:effectExtent l="0" t="0" r="0" b="9525"/>
            <wp:docPr id="17" name="图片 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9"/>
                    <pic:cNvPicPr>
                      <a:picLocks noChangeAspect="1"/>
                    </pic:cNvPicPr>
                  </pic:nvPicPr>
                  <pic:blipFill>
                    <a:blip r:embed="rId18"/>
                    <a:stretch>
                      <a:fillRect/>
                    </a:stretch>
                  </pic:blipFill>
                  <pic:spPr>
                    <a:xfrm>
                      <a:off x="0" y="0"/>
                      <a:ext cx="4762500" cy="3571875"/>
                    </a:xfrm>
                    <a:prstGeom prst="rect">
                      <a:avLst/>
                    </a:prstGeom>
                    <a:noFill/>
                    <a:ln w="9525">
                      <a:noFill/>
                    </a:ln>
                  </pic:spPr>
                </pic:pic>
              </a:graphicData>
            </a:graphic>
          </wp:inline>
        </w:drawing>
      </w:r>
    </w:p>
    <w:p>
      <w:pPr>
        <w:rPr>
          <w:rFonts w:hint="default"/>
          <w:i w:val="0"/>
          <w:caps w:val="0"/>
          <w:color w:val="24308E"/>
          <w:spacing w:val="0"/>
          <w:sz w:val="25"/>
          <w:szCs w:val="25"/>
          <w:shd w:val="clear" w:fill="90A0F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6" w:lineRule="atLeast"/>
        <w:ind w:left="0" w:right="0" w:firstLine="540" w:firstLineChars="200"/>
        <w:jc w:val="left"/>
        <w:rPr>
          <w:rFonts w:hint="eastAsia" w:ascii="微软雅黑" w:hAnsi="微软雅黑" w:eastAsia="微软雅黑" w:cs="微软雅黑"/>
          <w:i w:val="0"/>
          <w:caps w:val="0"/>
          <w:color w:val="222222"/>
          <w:spacing w:val="0"/>
          <w:sz w:val="27"/>
          <w:szCs w:val="27"/>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PingFang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1F4F05"/>
    <w:rsid w:val="08127BF5"/>
    <w:rsid w:val="2884501E"/>
    <w:rsid w:val="3250430E"/>
    <w:rsid w:val="4D1F4F05"/>
    <w:rsid w:val="5B8D6CA1"/>
    <w:rsid w:val="65DD1E00"/>
    <w:rsid w:val="6D107BB1"/>
    <w:rsid w:val="7A8233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2018-11-26T01:47:00Z</dcterms:created>
  <dc:creator>圐圙</dc:creator>
  <cp:lastModifiedBy>Administrator</cp:lastModifiedBy>
  <dcterms:modified xsi:type="dcterms:W3CDTF">2018-12-05T05:34:22Z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