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981" w:firstLineChars="349"/>
        <w:jc w:val="left"/>
        <w:rPr>
          <w:rFonts w:hint="eastAsia" w:cs="宋体" w:asciiTheme="majorEastAsia" w:hAnsiTheme="majorEastAsia" w:eastAsiaTheme="majorEastAsia"/>
          <w:b/>
          <w:bCs/>
          <w:color w:val="000000"/>
          <w:kern w:val="0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lang w:eastAsia="zh-CN"/>
        </w:rPr>
        <w:t>建筑工程施工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</w:rPr>
        <w:t>专业人才培养知识、能力和素质标准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一、知识结构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l、掌握本专业所必需的文化基础理论知识；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2、熟练地掌握英语，英语水平应达到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建筑工程施工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专业要求的标准；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3、掌握计算机应用与操作基本知识；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4、掌握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建筑测量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建筑材料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建筑制图与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识图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建筑构造、建筑结构与识图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有关的基本理论、基本知识；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5、掌握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建筑测设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建筑施工现场管理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施工图的识读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、等专业知识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了解施工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工艺流程的基本知识；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施工现场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常见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问题解决方法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8、掌握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结构施工图的识读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9、安全生产和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绿色施工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二、能力结构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l、具有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项目建设、开发、管理及服务的基本能力；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2、具有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建筑测量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主要设备和仪器操作的基本能力；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3、具有一定的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施工现场管理的能力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4、具有使用和简单的维护仪器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、工具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5、具有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建筑测设的操作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6、具有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施工图纸的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识图能力；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、具有一定的安全生产、环境保护基本意识；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9、具有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应用所学知识在施工现场使用并解决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实际问题和进行技术革新的初步能力。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1、具有敬业爱岗、诚实守信等职业道德意识；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2、具有遵守行为规范和社会公德的良好习惯以及较强的法制观念；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3、逐步树立正确的世界观、人生观、价值观的素质；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4、具有不断学习、改革创新创业精神；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5、具有良好的团队协作精神、协调能力及独立工作能力；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6、具有竞争意识。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有正确的世界观、人生观，有市场意识和竞争意识，有创新精神、爱岗敬业、法治观念强，教育良好的心理素质和健康的体魄。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D608"/>
    <w:multiLevelType w:val="singleLevel"/>
    <w:tmpl w:val="15CFD6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43F"/>
    <w:rsid w:val="001A543F"/>
    <w:rsid w:val="006F6EAB"/>
    <w:rsid w:val="1A426A43"/>
    <w:rsid w:val="344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2018-10-23T13:35:00Z</dcterms:created>
  <dc:creator>樊富庭</dc:creator>
  <cp:lastModifiedBy>YZB</cp:lastModifiedBy>
  <dcterms:modified xsi:type="dcterms:W3CDTF">2018-10-24T00:33:48Z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