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楷体_GB2312" w:eastAsia="楷体_GB2312" w:hAnsi="宋体"/>
          <w:caps w:val="0"/>
        </w:rPr>
        <w:snapToGrid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楷体_GB2312" w:eastAsia="楷体_GB2312" w:hAnsi="宋体"/>
          <w:caps w:val="0"/>
        </w:rPr>
        <w:t xml:space="preserve">准格尔旗职业高级中学2022年校级技能大赛会计事务专业</w:t>
      </w:r>
    </w:p>
    <w:p>
      <w:pPr>
        <w:pStyle w:val="UserStyle_0"/>
        <w:jc w:val="center"/>
        <w:spacing w:before="0" w:beforeAutospacing="0" w:after="0" w:afterAutospacing="0" w:line="240" w:lineRule="atLeas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_GB2312" w:eastAsia="楷体_GB2312" w:hAnsi="宋体"/>
          <w:caps w:val="0"/>
        </w:rPr>
        <w:snapToGrid w:val="0"/>
        <w:ind w:left="0" w:right="0" w:firstLineChars="0" w:leftChars="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_GB2312" w:eastAsia="楷体_GB2312" w:hAnsi="宋体"/>
          <w:caps w:val="0"/>
        </w:rPr>
        <w:t xml:space="preserve">“会计电算化”赛项规程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楷体_GB2312" w:eastAsia="楷体_GB2312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楷体_GB2312" w:eastAsia="楷体_GB2312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一、赛项名称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“会计电算化”分赛项为个人赛，每名选手必须全部参加该分赛项的点钞、翻打传票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项内容比赛。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二、竞赛时间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.翻打传票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10分钟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.点钞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多指多张和单指单张各5分钟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三、竞赛规则</w:t>
      </w:r>
    </w:p>
    <w:p>
      <w:pPr>
        <w:pStyle w:val="HtmlNormal"/>
        <w:widowControl/>
        <w:jc w:val="both"/>
        <w:spacing w:before="0" w:beforeAutospacing="1" w:after="0" w:afterAutospacing="1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1.参赛选手需提前30分钟抵达赛场，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按组抽签，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凭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抽取的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参赛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号码牌，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在赛场工作人员引导下进行赛前准备。进入赛场后，将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参赛号码牌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放在桌子指定位置，禁止携带任何通讯设备及与竞赛无关的电子设备。比赛选手迟到15分钟取消竞赛资格；翻打传票和点钞比赛一经开始，迟到选手不得入内。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  <w:tabs>
          <w:tab w:val="left" w:leader="none" w:pos="7310"/>
        </w:tabs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.裁判组对参赛选手的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号码牌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进行检查并进行大赛相关事项教育。比赛过程中出现违规、违纪、舞弊等现象，经裁判组裁定取消大赛成绩。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.翻打传票比赛，每20组数据为1题，按翻打传票专用设备的程序和方法进行，题目限时10分钟，不限量，比赛成绩由系统自动生成。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4.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点钞比赛采用佰元面额练功券，单指单张采用整把形式，多指多张采用散把形式。选手持钞采用手持式或手按式均可，比赛一律以坐姿进行。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5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.参赛选手完成比赛项目后，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将所点金额计在计分单上，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将资料和工具整齐摆放在操作平台上，经工作人员清点后方可离开赛场，离开赛场时不得带走任何资料（包括草稿纸）。</w:t>
      </w:r>
    </w:p>
    <w:p>
      <w:pPr>
        <w:pStyle w:val="HtmlNormal"/>
        <w:widowControl/>
        <w:jc w:val="both"/>
        <w:spacing w:before="0" w:beforeAutospacing="1" w:after="0" w:afterAutospacing="1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6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.比赛开始后，非工作人员一律不得进入比赛场地。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四、赛场与设施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right="26" w:firstLine="63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1.赛场：翻打传票、点钞比赛在20级财会三班进行；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2.比赛使用设备、用具及软件要求：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  <w:tabs>
          <w:tab w:val="left" w:leader="none" w:pos="7310"/>
        </w:tabs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1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）翻打传票采用大连爱丁数码产品有限公司翰林提T96BW专用输入设备及配套传票。传票本100页，70G书写纸，4号手写体铅字印刷，规格为长19厘米，宽8厘米。比赛现场设备及用具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财会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组委会统一提供。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  <w:tabs>
          <w:tab w:val="left" w:leader="none" w:pos="7310"/>
        </w:tabs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）佰元面额练功券由中国财政经济出版社统一印制。点钞比赛用具包括佰元面额练功券、扎条、海绵缸（并配甘油）、扎条、笔、印章（采用“万次章”）、记录表、点钞机，全部由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财会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组委会统一提供。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五、成绩评定方法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1.参赛选手成绩评定由大赛裁判组负责。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.“会计电算化”分赛项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选手个人总成绩按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项比赛内容实际成绩的一定权重折算。其中：点钞权重为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50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%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（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单指单张占25%、多指多张占25%），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翻打传票权重为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50</w:t>
      </w: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%。</w:t>
      </w:r>
    </w:p>
    <w:p>
      <w:pPr>
        <w:pStyle w:val="Normal"/>
        <w:jc w:val="left"/>
        <w:spacing w:before="0" w:beforeAutospacing="0" w:after="0" w:afterAutospacing="0" w:line="540" w:lineRule="exact"/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 w:val="0"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六、奖项设置</w:t>
      </w:r>
    </w:p>
    <w:p>
      <w:pPr>
        <w:pStyle w:val="AnnotationText"/>
        <w:widowControl/>
        <w:jc w:val="left"/>
        <w:spacing w:before="0" w:beforeAutospacing="0" w:after="0" w:afterAutospacing="0" w:line="540" w:lineRule="exact"/>
        <w:rPr>
          <w:rStyle w:val="NormalCharacter"/>
          <w:szCs w:val="28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 w:val="0"/>
          <w:i w:val="0"/>
          <w:sz w:val="28"/>
          <w:spacing w:val="0"/>
          <w:w w:val="100"/>
          <w:rFonts w:ascii="仿宋_GB2312" w:eastAsia="仿宋_GB2312" w:hAnsi="仿宋_GB2312"/>
          <w:caps w:val="0"/>
        </w:rPr>
        <w:t xml:space="preserve">“会计电算化”分赛项设参赛选手个人奖，一等奖占比10%，二等奖占比20%，三等奖占比30%。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/>
          <w:b w:val="0"/>
          <w:i w:val="0"/>
          <w:sz w:val="21"/>
          <w:spacing w:val="0"/>
          <w:w w:val="100"/>
          <w:rFonts w:eastAsia="宋体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21"/>
          <w:spacing w:val="0"/>
          <w:w w:val="100"/>
          <w:rFonts w:eastAsia="宋体"/>
          <w:caps w:val="0"/>
        </w:rPr>
        <w:t xml:space="preserve">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/>
          <w:b w:val="0"/>
          <w:i w:val="0"/>
          <w:sz w:val="21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eastAsia="宋体"/>
          <w:caps w:val="0"/>
        </w:rPr>
        <w:t/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0" w:top="1304" w:bottom="1247" w:footer="850" w:left="1587" w:right="1531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楷体_GB2312">
    <w:altName w:val="楷体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anose1 w:val="02010609030101010101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 w:val="18"/>
        <w:kern w:val="2"/>
        <w:lang w:val="en-US" w:eastAsia="zh-CN"/>
        <w:rFonts w:eastAsia="宋体"/>
      </w:rPr>
      <w:widowControl/>
      <w:tabs>
        <w:tab w:leader="none" w:val="center" w:pos="4153"/>
        <w:tab w:leader="none" w:val="right" w:pos="8306"/>
      </w:tabs>
      <w:snapToGrid w:val="0"/>
      <w:framePr w:xAlign="center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 w:val="18"/>
        <w:kern w:val="2"/>
        <w:lang w:val="en-US" w:eastAsia="zh-CN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 w:val="18"/>
        <w:kern w:val="2"/>
        <w:lang w:val="en-US" w:eastAsia="zh-CN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</w:pPr>
    <w:r>
      <w:rPr>
        <w:rStyle w:val="NormalCharacter"/>
        <w:sz w:val="18"/>
        <w:kern w:val="2"/>
        <w:lang w:val="zh-CN"/>
        <w:rFonts w:eastAsia="宋体"/>
      </w:rPr>
    </w:r>
  </w:p>
</w:ftr>
</file>

<file path=word/settings.xml><?xml version="1.0" encoding="utf-8"?>
<w:settings xmlns:w="http://schemas.openxmlformats.org/wordprocessingml/2006/main">
  <w:zoom w:percent="11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wrapTrailSpaces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/>
        <w:rFonts w:eastAsia="宋体"/>
      </w:rPr>
      <w:jc w:val="both"/>
      <w:textAlignment w:val="baseline"/>
    </w:pPr>
    <w:rPr>
      <w:sz w:val="21"/>
      <w:kern w:val="2"/>
      <w:lang w:val="en-US" w:eastAsia="zh-CN"/>
      <w:rFonts w:eastAsia="宋体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paragraph" w:styleId="AnnotationText">
    <w:name w:val="AnnotationText"/>
    <w:basedOn w:val="Normal"/>
    <w:next w:val="AnnotationText"/>
    <w:link w:val="Normal"/>
    <w:pPr>
      <w:jc w:val="left"/>
      <w:textAlignment w:val="baseline"/>
    </w:pPr>
  </w:style>
  <w:style w:type="paragraph" w:styleId="Footer">
    <w:name w:val="Footer"/>
    <w:basedOn w:val="Normal"/>
    <w:next w:val="Footer"/>
    <w:link w:val="Normal"/>
    <w:pPr>
      <w:rPr>
        <w:sz w:val="18"/>
        <w:kern w:val="2"/>
        <w:lang w:val="en-US" w:eastAsia="zh-CN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 w:val="18"/>
      <w:kern w:val="2"/>
      <w:lang w:val="en-US" w:eastAsia="zh-CN"/>
      <w:rFonts w:eastAsia="宋体"/>
    </w:rPr>
  </w:style>
  <w:style w:type="paragraph" w:styleId="Header">
    <w:name w:val="Header"/>
    <w:basedOn w:val="Normal"/>
    <w:next w:val="Header"/>
    <w:link w:val="Normal"/>
    <w:pPr>
      <w:rPr>
        <w:sz w:val="18"/>
        <w:kern w:val="2"/>
        <w:lang w:val="en-US" w:eastAsia="zh-CN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 w:val="18"/>
      <w:kern w:val="2"/>
      <w:lang w:val="en-US" w:eastAsia="zh-CN"/>
      <w:rFonts w:ascii="Times New Roman" w:eastAsia="宋体" w:hAnsi="Times New Roman"/>
    </w:rPr>
  </w:style>
  <w:style w:type="paragraph" w:styleId="HtmlNormal">
    <w:name w:val="HtmlNormal"/>
    <w:basedOn w:val="Normal"/>
    <w:next w:val="HtmlNormal"/>
    <w:link w:val="Normal"/>
    <w:pPr>
      <w:rPr>
        <w:sz w:val="24"/>
        <w:kern w:val="0"/>
        <w:lang w:val="en-US" w:eastAsia="zh-CN"/>
        <w:rFonts w:ascii="宋体" w:eastAsia="宋体" w:hAnsi="宋体"/>
      </w:rPr>
      <w:widowControl/>
      <w:spacing w:beforeAutospacing="true" w:afterAutospacing="true" w:after="100" w:before="100"/>
      <w:jc w:val="left"/>
      <w:textAlignment w:val="baseline"/>
    </w:pPr>
    <w:rPr>
      <w:sz w:val="24"/>
      <w:kern w:val="0"/>
      <w:lang w:val="en-US" w:eastAsia="zh-CN"/>
      <w:rFonts w:ascii="宋体" w:eastAsia="宋体" w:hAnsi="宋体"/>
    </w:rPr>
  </w:style>
  <w:style w:type="character" w:styleId="PageNumber">
    <w:name w:val="PageNumber"/>
    <w:basedOn w:val="NormalCharacter"/>
    <w:next w:val="PageNumber"/>
    <w:link w:val="Normal"/>
  </w:style>
  <w:style w:type="paragraph" w:styleId="UserStyle_0">
    <w:name w:val="UserStyle_0"/>
    <w:next w:val="UserStyle_0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paragraph" w:styleId="UserStyle_1">
    <w:name w:val="UserStyle_1"/>
    <w:basedOn w:val="Normal"/>
    <w:next w:val="UserStyle_1"/>
    <w:link w:val="Normal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楷体_GB2312" w:eastAsia="楷体_GB2312" w:hAnsi="宋体"/>
        </w:rPr>
        <w:bidi w:val="off"/>
        <w:kinsoku/>
        <w:kinsoku/>
        <w:overflowPunct/>
        <w:wordWrap/>
        <w:framePr w:outlineLvl="9"/>
        <w:spacing w:line="54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楷体_GB2312" w:eastAsia="楷体_GB2312" w:hAnsi="宋体"/>
        </w:rPr>
        <w:t xml:space="preserve">准格尔旗职业高级中学2022年校级技能大赛会计事务专业</w:t>
      </w:r>
    </w:p>
    <w:p>
      <w:pPr>
        <w:pStyle w:val="UserStyle_0"/>
        <w:rPr>
          <w:rStyle w:val="NormalCharacter"/>
          <w:szCs w:val="32"/>
          <w:sz w:val="32"/>
          <w:kern w:val="2"/>
          <w:lang w:val="en-US" w:eastAsia="zh-CN" w:bidi="ar-SA"/>
          <w:rFonts w:ascii="楷体_GB2312" w:eastAsia="楷体_GB2312" w:hAnsi="宋体"/>
        </w:rPr>
        <w:snapToGrid w:val="0"/>
        <w:ind w:leftChars="0" w:rightChars="0" w:left="0" w:firstLineChars="0" w:right="0"/>
        <w:spacing w:line="240" w:lineRule="atLeast"/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楷体_GB2312" w:eastAsia="楷体_GB2312" w:hAnsi="宋体"/>
        </w:rPr>
        <w:t xml:space="preserve">“会计电算化”赛项规程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楷体_GB2312" w:eastAsia="楷体_GB2312" w:hAnsi="宋体"/>
        </w:rPr>
        <w:snapToGrid w:val="0"/>
        <w:spacing w:line="54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t xml:space="preserve">一、赛项名称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“会计电算化”分赛项为个人赛，每名选手必须全部参加该分赛项的点钞、翻打传票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项内容比赛。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t xml:space="preserve">二、竞赛时间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1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.翻打传票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10分钟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2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.点钞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多指多张和单指单张各5分钟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t xml:space="preserve">三、竞赛规则</w:t>
      </w:r>
    </w:p>
    <w:p>
      <w:pPr>
        <w:pStyle w:val="Html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widowControl/>
        <w:ind w:firstLine="560" w:firstLineChars="200"/>
        <w:spacing w:line="540" w:after="0" w:before="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1.参赛选手需提前30分钟抵达赛场，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按组抽签，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凭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抽取的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参赛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号码牌，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在赛场工作人员引导下进行赛前准备。进入赛场后，将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参赛号码牌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放在桌子指定位置，禁止携带任何通讯设备及与竞赛无关的电子设备。比赛选手迟到15分钟取消竞赛资格；翻打传票和点钞比赛一经开始，迟到选手不得入内。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abs>
          <w:tab w:leader="none" w:val="left" w:pos="7310"/>
        </w:tabs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2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.裁判组对参赛选手的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号码牌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进行检查并进行大赛相关事项教育。比赛过程中出现违规、违纪、舞弊等现象，经裁判组裁定取消大赛成绩。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3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.翻打传票比赛，每20组数据为1题，按翻打传票专用设备的程序和方法进行，题目限时10分钟，不限量，比赛成绩由系统自动生成。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4.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点钞比赛采用佰元面额练功券，单指单张采用整把形式，多指多张采用散把形式。选手持钞采用手持式或手按式均可，比赛一律以坐姿进行。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.参赛选手完成比赛项目后，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将所点金额计在计分单上，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将资料和工具整齐摆放在操作平台上，经工作人员清点后方可离开赛场，离开赛场时不得带走任何资料（包括草稿纸）。</w:t>
      </w:r>
    </w:p>
    <w:p>
      <w:pPr>
        <w:pStyle w:val="Html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widowControl/>
        <w:ind w:firstLine="560" w:firstLineChars="200"/>
        <w:spacing w:line="540" w:after="0" w:before="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6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.比赛开始后，非工作人员一律不得进入比赛场地。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t xml:space="preserve">四、赛场与设施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ind w:firstLine="630" w:right="26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1.赛场：翻打传票、点钞比赛在普通教室进行；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2.比赛使用设备、用具及软件要求：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abs>
          <w:tab w:leader="none" w:val="left" w:pos="7310"/>
        </w:tabs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（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1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）翻打传票采用大连爱丁数码产品有限公司翰林提T96BW专用输入设备及配套传票。传票本100页，70G书写纸，4号手写体铅字印刷，规格为长19厘米，宽8厘米。比赛现场设备及用具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财会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组委会统一提供。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abs>
          <w:tab w:leader="none" w:val="left" w:pos="7310"/>
        </w:tabs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（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2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）佰元面额练功券由中国财政经济出版社统一印制。点钞比赛用具包括佰元面额练功券、扎条、海绵缸（并配甘油）、扎条、笔、印章（采用“万次章”）、记录表、点钞机，全部由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财会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组委会统一提供。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t xml:space="preserve">五、成绩评定方法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ind w:firstLine="560" w:firstLineChars="200"/>
        <w:spacing w:line="5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1.参赛选手成绩评定由大赛裁判组负责。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2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.“会计电算化”分赛项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选手个人总成绩按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项比赛内容实际成绩的一定权重折算。其中：点钞权重为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50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%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（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单指单张占25%、多指多张占25%），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翻打传票权重为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50</w:t>
      </w:r>
      <w:r>
        <w:rPr>
          <w:rStyle w:val="NormalCharacter"/>
          <w:szCs w:val="28"/>
          <w:sz w:val="28"/>
          <w:kern w:val="2"/>
          <w:lang w:val="en-US" w:eastAsia="zh-CN"/>
          <w:rFonts w:ascii="仿宋_GB2312" w:eastAsia="仿宋_GB2312" w:hAnsi="仿宋_GB2312"/>
        </w:rPr>
        <w:t xml:space="preserve">%。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snapToGrid w:val="0"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/>
          <w:rFonts w:ascii="黑体" w:eastAsia="黑体" w:hAnsi="黑体"/>
        </w:rPr>
        <w:t xml:space="preserve">六、奖项设置</w:t>
      </w:r>
    </w:p>
    <w:p>
      <w:pPr>
        <w:pStyle w:val="AnnotationText"/>
        <w:rPr>
          <w:rStyle w:val="NormalCharacter"/>
          <w:szCs w:val="28"/>
          <w:sz w:val="28"/>
          <w:rFonts w:ascii="仿宋_GB2312" w:eastAsia="仿宋_GB2312" w:hAnsi="仿宋_GB2312"/>
        </w:rPr>
        <w:widowControl/>
        <w:ind w:firstLine="560" w:firstLineChars="200"/>
        <w:spacing w:line="540" w:lineRule="exact"/>
        <w:jc w:val="left"/>
        <w:textAlignment w:val="baseline"/>
      </w:pPr>
      <w:r>
        <w:rPr>
          <w:rStyle w:val="NormalCharacter"/>
          <w:szCs w:val="28"/>
          <w:sz w:val="28"/>
          <w:rFonts w:ascii="仿宋_GB2312" w:eastAsia="仿宋_GB2312" w:hAnsi="仿宋_GB2312"/>
        </w:rPr>
        <w:t xml:space="preserve">“会计电算化”分赛项设参赛选手个人奖，一等奖占比10%，二等奖占比20%，三等奖占比30%。</w:t>
      </w:r>
    </w:p>
    <w:p>
      <w:pPr>
        <w:pStyle w:val="Normal"/>
        <w:rPr>
          <w:rStyle w:val="NormalCharacter"/>
          <w:sz w:val="21"/>
          <w:kern w:val="2"/>
          <w:lang w:val="en-US" w:eastAsia="zh-CN"/>
          <w:rFonts w:eastAsia="宋体"/>
        </w:rPr>
        <w:jc w:val="both"/>
        <w:textAlignment w:val="baseline"/>
      </w:pPr>
      <w:r>
        <w:rPr>
          <w:rStyle w:val="NormalCharacter"/>
          <w:sz w:val="21"/>
          <w:kern w:val="2"/>
          <w:lang w:val="en-US" w:eastAsia="zh-CN"/>
          <w:rFonts w:eastAsia="宋体"/>
        </w:rPr>
        <w:t xml:space="preserve">    </w:t>
      </w:r>
    </w:p>
    <w:p>
      <w:pPr>
        <w:pStyle w:val="Normal"/>
        <w:rPr>
          <w:rStyle w:val="NormalCharacter"/>
          <w:sz w:val="21"/>
          <w:kern w:val="2"/>
          <w:lang w:val="en-US" w:eastAsia="zh-CN"/>
          <w:rFonts w:eastAsia="宋体"/>
        </w:rPr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0" w:top="1304" w:bottom="1247" w:footer="850" w:left="1587" w:right="1531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