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360" w:lineRule="auto"/>
        <w:jc w:val="center"/>
        <w:outlineLvl w:val="0"/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准格尔旗职业高级中学第五届职业技能大赛</w:t>
      </w:r>
    </w:p>
    <w:p>
      <w:pPr>
        <w:spacing w:before="156" w:beforeLines="50" w:line="360" w:lineRule="auto"/>
        <w:jc w:val="center"/>
        <w:outlineLvl w:val="0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“车身修复（钣金）”赛项技术方案</w:t>
      </w:r>
    </w:p>
    <w:p>
      <w:pPr>
        <w:spacing w:line="360" w:lineRule="auto"/>
        <w:rPr>
          <w:rFonts w:hint="eastAsia" w:ascii="宋体" w:hAnsi="宋体"/>
          <w:b/>
          <w:sz w:val="32"/>
          <w:szCs w:val="32"/>
        </w:rPr>
      </w:pPr>
    </w:p>
    <w:p>
      <w:pPr>
        <w:spacing w:before="156" w:beforeLines="50"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一、比赛内容</w:t>
      </w:r>
      <w:bookmarkStart w:id="0" w:name="_GoBack"/>
      <w:bookmarkEnd w:id="0"/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车身修复赛项为实操比赛，由单人完成，共3项，分为车身电子测量与校正、板件更换、受损门板修复。（满分：100分，其中车身电子测量和校正占30分、板件更换占40分、受损门板修复占30分）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选手按抽签编号滚动交叉进行比赛，单人作业总时间为</w:t>
      </w:r>
      <w:r>
        <w:rPr>
          <w:rFonts w:ascii="仿宋_GB2312" w:hAnsi="宋体" w:eastAsia="仿宋_GB2312"/>
          <w:sz w:val="28"/>
          <w:szCs w:val="28"/>
        </w:rPr>
        <w:t>1</w:t>
      </w:r>
      <w:r>
        <w:rPr>
          <w:rFonts w:hint="eastAsia" w:ascii="仿宋_GB2312" w:hAnsi="宋体" w:eastAsia="仿宋_GB2312"/>
          <w:sz w:val="28"/>
          <w:szCs w:val="28"/>
        </w:rPr>
        <w:t>50分钟。其中：车身电子测量和校正5</w:t>
      </w:r>
      <w:r>
        <w:rPr>
          <w:rFonts w:ascii="仿宋_GB2312" w:hAnsi="宋体" w:eastAsia="仿宋_GB2312"/>
          <w:sz w:val="28"/>
          <w:szCs w:val="28"/>
        </w:rPr>
        <w:t>0</w:t>
      </w:r>
      <w:r>
        <w:rPr>
          <w:rFonts w:hint="eastAsia" w:ascii="仿宋_GB2312" w:hAnsi="宋体" w:eastAsia="仿宋_GB2312"/>
          <w:sz w:val="28"/>
          <w:szCs w:val="28"/>
        </w:rPr>
        <w:t>分钟；板件更换5</w:t>
      </w:r>
      <w:r>
        <w:rPr>
          <w:rFonts w:ascii="仿宋_GB2312" w:hAnsi="宋体" w:eastAsia="仿宋_GB2312"/>
          <w:sz w:val="28"/>
          <w:szCs w:val="28"/>
        </w:rPr>
        <w:t>0</w:t>
      </w:r>
      <w:r>
        <w:rPr>
          <w:rFonts w:hint="eastAsia" w:ascii="仿宋_GB2312" w:hAnsi="宋体" w:eastAsia="仿宋_GB2312"/>
          <w:sz w:val="28"/>
          <w:szCs w:val="28"/>
        </w:rPr>
        <w:t>分钟；受损门板修复5</w:t>
      </w:r>
      <w:r>
        <w:rPr>
          <w:rFonts w:ascii="仿宋_GB2312" w:hAnsi="宋体" w:eastAsia="仿宋_GB2312"/>
          <w:sz w:val="28"/>
          <w:szCs w:val="28"/>
        </w:rPr>
        <w:t>0</w:t>
      </w:r>
      <w:r>
        <w:rPr>
          <w:rFonts w:hint="eastAsia" w:ascii="仿宋_GB2312" w:hAnsi="宋体" w:eastAsia="仿宋_GB2312"/>
          <w:sz w:val="28"/>
          <w:szCs w:val="28"/>
        </w:rPr>
        <w:t>分钟。</w:t>
      </w:r>
    </w:p>
    <w:p>
      <w:pPr>
        <w:spacing w:before="156" w:beforeLines="50"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二、名次排列规则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按实操成绩由高到低排序，实操成绩分数高的名次在前；实操成绩也相同的，则以3项实操项目总用时短的名次在前。</w:t>
      </w:r>
    </w:p>
    <w:p>
      <w:pPr>
        <w:spacing w:before="156" w:beforeLines="50"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ascii="仿宋_GB2312" w:hAnsi="宋体" w:eastAsia="仿宋_GB2312"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133985</wp:posOffset>
            </wp:positionV>
            <wp:extent cx="2609850" cy="2805430"/>
            <wp:effectExtent l="0" t="0" r="0" b="0"/>
            <wp:wrapSquare wrapText="bothSides"/>
            <wp:docPr id="8" name="图片 6" descr="C:\Users\pc\AppData\Local\Temp\15452127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pc\AppData\Local\Temp\154521275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b/>
          <w:sz w:val="30"/>
          <w:szCs w:val="30"/>
        </w:rPr>
        <w:t>三、比赛作业工件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（一）车身电子测量和校正项目的工件为2013款三厢新赛欧（不带天窗）白车身，前纵梁设置变形。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（二）板件更换项目的工件为模拟结构件套装成型板件，工件形状如图：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A、D板件：镀锌钢板，厚度0.7mm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B、E板件：低碳钢钢板，厚度1.2mm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C板件：镀锌钢板，厚度1mm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D板件：镀锌钢板，厚度0.7mm，已加工好4个Φ9mm孔、4个Φ6mm孔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E板件：低碳钢板，厚度1.2mm，已加工好4个Φ8mm孔</w:t>
      </w:r>
    </w:p>
    <w:p>
      <w:pPr>
        <w:spacing w:line="360" w:lineRule="auto"/>
        <w:ind w:firstLine="565" w:firstLineChars="202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（三）受损门板修复项目的工件为已设置损伤的车门外板（奔腾教学专用门板，门板厚度0.7mm）。</w:t>
      </w:r>
    </w:p>
    <w:p>
      <w:pPr>
        <w:spacing w:line="360" w:lineRule="auto"/>
        <w:ind w:firstLine="484" w:firstLineChars="202"/>
        <w:jc w:val="center"/>
        <w:rPr>
          <w:rFonts w:ascii="仿宋_GB2312" w:hAnsi="宋体" w:eastAsia="仿宋_GB2312"/>
          <w:color w:val="000000"/>
          <w:sz w:val="24"/>
        </w:rPr>
      </w:pPr>
      <w:r>
        <w:rPr>
          <w:rFonts w:ascii="仿宋_GB2312" w:hAnsi="宋体" w:eastAsia="仿宋_GB2312"/>
          <w:color w:val="000000"/>
          <w:sz w:val="24"/>
        </w:rPr>
        <w:drawing>
          <wp:inline distT="0" distB="0" distL="0" distR="0">
            <wp:extent cx="4494530" cy="2724150"/>
            <wp:effectExtent l="19050" t="0" r="955" b="0"/>
            <wp:docPr id="5" name="图片 2" descr="C:\Users\pc\AppData\Local\Temp\15529712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pc\AppData\Local\Temp\1552971285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221" cy="27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四、实操比赛计分和考核要求</w:t>
      </w:r>
    </w:p>
    <w:p>
      <w:pPr>
        <w:tabs>
          <w:tab w:val="left" w:pos="1418"/>
        </w:tabs>
        <w:spacing w:before="156" w:beforeLines="50" w:line="560" w:lineRule="exac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（一）车身电子测量与校正  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1.作业要求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在50分钟内，先对车身进行车身底部测量并记录（共6对12个测量点，分别为2对基准点，4对测量点），然后再对前纵梁进行测量、记录并校正。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比赛提供3张不同测量点的车身图，选手抽签确定比赛用车身图。每个选手独立使用车身电子测量系统对要求的测量点进行测量，记录下实际测量的数据（长、宽、高数据）。比赛提供前纵梁标准校正数据，选手通过测量确定前纵梁的变形大小和方向，然后使用车身校正仪对前纵梁宽度进行校正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2.考核要点：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测量系统的使用、测量数据准确性、校正过程和校正后数据的准确性、安全防护、校正设备使用、5S等。</w:t>
      </w:r>
    </w:p>
    <w:p>
      <w:pPr>
        <w:tabs>
          <w:tab w:val="left" w:pos="1418"/>
        </w:tabs>
        <w:spacing w:before="156" w:beforeLines="50" w:line="560" w:lineRule="exac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（二）板件更换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1.作业要求：在50分钟内对提供的板件（A、B、C板件）进行电阻点焊、测量、画线、切割、定位、保护焊等操作。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(1）A、B、C板件结合。</w:t>
      </w:r>
    </w:p>
    <w:p>
      <w:pPr>
        <w:spacing w:line="560" w:lineRule="exact"/>
        <w:ind w:left="566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① 按照下图尺寸，在A板件上测量、划线，确定焊点位置。</w:t>
      </w:r>
    </w:p>
    <w:p>
      <w:pPr>
        <w:pStyle w:val="6"/>
        <w:ind w:firstLine="1540" w:firstLineChars="550"/>
        <w:rPr>
          <w:rFonts w:ascii="宋体" w:hAnsi="宋体" w:eastAsia="宋体" w:cs="Times New Roman"/>
          <w:kern w:val="2"/>
          <w:sz w:val="28"/>
          <w:szCs w:val="28"/>
        </w:rPr>
      </w:pPr>
      <w:r>
        <w:rPr>
          <w:rFonts w:ascii="宋体" w:hAnsi="宋体" w:eastAsia="宋体" w:cs="Times New Roman"/>
          <w:kern w:val="2"/>
          <w:sz w:val="28"/>
          <w:szCs w:val="28"/>
        </w:rPr>
        <w:drawing>
          <wp:inline distT="0" distB="0" distL="0" distR="0">
            <wp:extent cx="3457575" cy="2635250"/>
            <wp:effectExtent l="19050" t="0" r="0" b="0"/>
            <wp:docPr id="16" name="图片 3" descr="C:\Users\pc\AppData\Local\Temp\15529219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C:\Users\pc\AppData\Local\Temp\155292194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1062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color w:val="000000"/>
          <w:sz w:val="24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② A、B、C板件定位，使用电阻点焊焊接在一起，每边10个焊点（如下图）。</w:t>
      </w:r>
    </w:p>
    <w:p>
      <w:pPr>
        <w:pStyle w:val="6"/>
        <w:spacing w:line="360" w:lineRule="auto"/>
        <w:ind w:firstLine="556"/>
        <w:jc w:val="center"/>
        <w:rPr>
          <w:rFonts w:ascii="仿宋_GB2312" w:hAnsi="宋体" w:eastAsia="仿宋_GB2312" w:cs="Times New Roman"/>
          <w:color w:val="000000"/>
          <w:kern w:val="2"/>
          <w:sz w:val="28"/>
          <w:szCs w:val="28"/>
        </w:rPr>
      </w:pPr>
      <w:r>
        <w:rPr>
          <w:rFonts w:ascii="仿宋_GB2312" w:hAnsi="宋体" w:eastAsia="仿宋_GB2312" w:cs="Times New Roman"/>
          <w:color w:val="000000"/>
          <w:kern w:val="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-1905</wp:posOffset>
            </wp:positionV>
            <wp:extent cx="3457575" cy="2038350"/>
            <wp:effectExtent l="19050" t="0" r="9525" b="0"/>
            <wp:wrapNone/>
            <wp:docPr id="9" name="图片 4" descr="C:\Users\pc\AppData\Local\Temp\15476021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pc\AppData\Local\Temp\154760214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360" w:lineRule="auto"/>
        <w:ind w:firstLine="555"/>
        <w:jc w:val="center"/>
        <w:rPr>
          <w:rFonts w:ascii="宋体" w:hAnsi="宋体" w:eastAsia="宋体" w:cs="Times New Roman"/>
          <w:kern w:val="2"/>
          <w:sz w:val="28"/>
          <w:szCs w:val="28"/>
        </w:rPr>
      </w:pPr>
    </w:p>
    <w:p>
      <w:pPr>
        <w:spacing w:line="360" w:lineRule="auto"/>
        <w:ind w:firstLine="480" w:firstLineChars="200"/>
        <w:rPr>
          <w:rFonts w:ascii="仿宋_GB2312" w:hAnsi="宋体" w:eastAsia="仿宋_GB2312"/>
          <w:color w:val="000000"/>
          <w:sz w:val="24"/>
          <w:szCs w:val="28"/>
        </w:rPr>
      </w:pPr>
    </w:p>
    <w:p>
      <w:pPr>
        <w:spacing w:line="360" w:lineRule="auto"/>
        <w:ind w:firstLine="480" w:firstLineChars="200"/>
        <w:rPr>
          <w:rFonts w:ascii="仿宋_GB2312" w:hAnsi="宋体" w:eastAsia="仿宋_GB2312"/>
          <w:color w:val="000000"/>
          <w:sz w:val="24"/>
          <w:szCs w:val="28"/>
        </w:rPr>
      </w:pPr>
    </w:p>
    <w:p>
      <w:pPr>
        <w:spacing w:line="360" w:lineRule="auto"/>
        <w:ind w:firstLine="480" w:firstLineChars="200"/>
        <w:rPr>
          <w:rFonts w:ascii="仿宋_GB2312" w:hAnsi="宋体" w:eastAsia="仿宋_GB2312"/>
          <w:color w:val="000000"/>
          <w:sz w:val="24"/>
          <w:szCs w:val="28"/>
        </w:rPr>
      </w:pPr>
    </w:p>
    <w:p>
      <w:pPr>
        <w:spacing w:line="360" w:lineRule="auto"/>
        <w:ind w:firstLine="480" w:firstLineChars="200"/>
        <w:rPr>
          <w:rFonts w:ascii="仿宋_GB2312" w:hAnsi="宋体" w:eastAsia="仿宋_GB2312"/>
          <w:color w:val="000000"/>
          <w:sz w:val="24"/>
          <w:szCs w:val="28"/>
        </w:rPr>
      </w:pPr>
    </w:p>
    <w:p>
      <w:pPr>
        <w:spacing w:line="360" w:lineRule="auto"/>
        <w:ind w:firstLine="480" w:firstLineChars="200"/>
        <w:rPr>
          <w:rFonts w:ascii="仿宋_GB2312" w:hAnsi="宋体" w:eastAsia="仿宋_GB2312"/>
          <w:color w:val="000000"/>
          <w:sz w:val="24"/>
          <w:szCs w:val="28"/>
        </w:rPr>
      </w:pPr>
    </w:p>
    <w:p>
      <w:pPr>
        <w:spacing w:line="560" w:lineRule="exact"/>
        <w:ind w:firstLine="565" w:firstLineChars="202"/>
        <w:jc w:val="left"/>
        <w:rPr>
          <w:rFonts w:hint="eastAsia" w:ascii="仿宋_GB2312" w:hAnsi="宋体" w:eastAsia="仿宋_GB2312"/>
          <w:sz w:val="28"/>
          <w:szCs w:val="28"/>
        </w:rPr>
      </w:pPr>
    </w:p>
    <w:p>
      <w:pPr>
        <w:spacing w:line="560" w:lineRule="exact"/>
        <w:ind w:firstLine="565" w:firstLineChars="202"/>
        <w:jc w:val="left"/>
        <w:rPr>
          <w:rFonts w:hint="eastAsia" w:ascii="仿宋_GB2312" w:hAnsi="宋体" w:eastAsia="仿宋_GB2312"/>
          <w:sz w:val="28"/>
          <w:szCs w:val="28"/>
        </w:rPr>
      </w:pP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（2）板件钻孔、切割分离（如下图）</w:t>
      </w:r>
    </w:p>
    <w:p>
      <w:pPr>
        <w:spacing w:line="360" w:lineRule="auto"/>
        <w:ind w:firstLine="560" w:firstLineChars="200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44450</wp:posOffset>
            </wp:positionV>
            <wp:extent cx="2351405" cy="2257425"/>
            <wp:effectExtent l="19050" t="0" r="0" b="0"/>
            <wp:wrapNone/>
            <wp:docPr id="11" name="图片 6" descr="C:\Users\pc\AppData\Local\Temp\15476023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pc\AppData\Local\Temp\154760236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09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44450</wp:posOffset>
            </wp:positionV>
            <wp:extent cx="2524125" cy="2257425"/>
            <wp:effectExtent l="19050" t="0" r="9525" b="0"/>
            <wp:wrapNone/>
            <wp:docPr id="10" name="图片 5" descr="C:\Users\pc\AppData\Local\Temp\15476022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pc\AppData\Local\Temp\154760229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349250</wp:posOffset>
            </wp:positionV>
            <wp:extent cx="2743200" cy="2134870"/>
            <wp:effectExtent l="0" t="0" r="0" b="0"/>
            <wp:wrapNone/>
            <wp:docPr id="12" name="图片 7" descr="C:\Users\pc\AppData\Local\Temp\15476024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\Users\pc\AppData\Local\Temp\154760244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sz w:val="28"/>
          <w:szCs w:val="28"/>
        </w:rPr>
        <w:t>①根据D板长度尺寸，割锯切割分离A板件。(如下图）</w:t>
      </w:r>
    </w:p>
    <w:p>
      <w:pPr>
        <w:pStyle w:val="6"/>
        <w:spacing w:line="560" w:lineRule="exact"/>
        <w:ind w:firstLine="565" w:firstLineChars="202"/>
        <w:rPr>
          <w:rFonts w:ascii="仿宋_GB2312" w:hAnsi="宋体" w:eastAsia="仿宋_GB2312" w:cs="Times New Roman"/>
          <w:color w:val="000000"/>
          <w:kern w:val="2"/>
          <w:sz w:val="28"/>
          <w:szCs w:val="28"/>
        </w:rPr>
      </w:pPr>
    </w:p>
    <w:p>
      <w:pPr>
        <w:pStyle w:val="6"/>
        <w:spacing w:line="560" w:lineRule="exact"/>
        <w:ind w:firstLine="565" w:firstLineChars="202"/>
        <w:rPr>
          <w:rFonts w:ascii="仿宋_GB2312" w:hAnsi="宋体" w:eastAsia="仿宋_GB2312" w:cs="Times New Roman"/>
          <w:color w:val="000000"/>
          <w:kern w:val="2"/>
          <w:sz w:val="28"/>
          <w:szCs w:val="28"/>
        </w:rPr>
      </w:pPr>
    </w:p>
    <w:p>
      <w:pPr>
        <w:pStyle w:val="6"/>
        <w:spacing w:line="560" w:lineRule="exact"/>
        <w:ind w:firstLine="565" w:firstLineChars="202"/>
        <w:rPr>
          <w:rFonts w:ascii="仿宋_GB2312" w:hAnsi="宋体" w:eastAsia="仿宋_GB2312" w:cs="Times New Roman"/>
          <w:color w:val="000000"/>
          <w:kern w:val="2"/>
          <w:sz w:val="28"/>
          <w:szCs w:val="28"/>
        </w:rPr>
      </w:pPr>
    </w:p>
    <w:p>
      <w:pPr>
        <w:pStyle w:val="6"/>
        <w:spacing w:line="560" w:lineRule="exact"/>
        <w:rPr>
          <w:rFonts w:hint="eastAsia" w:ascii="仿宋_GB2312" w:hAnsi="宋体" w:eastAsia="仿宋_GB2312" w:cs="Times New Roman"/>
          <w:color w:val="000000"/>
          <w:kern w:val="2"/>
          <w:sz w:val="28"/>
          <w:szCs w:val="28"/>
        </w:rPr>
      </w:pPr>
    </w:p>
    <w:p>
      <w:pPr>
        <w:pStyle w:val="6"/>
        <w:spacing w:line="560" w:lineRule="exact"/>
        <w:rPr>
          <w:rFonts w:hint="eastAsia" w:ascii="仿宋_GB2312" w:hAnsi="宋体" w:eastAsia="仿宋_GB2312" w:cs="Times New Roman"/>
          <w:color w:val="000000"/>
          <w:kern w:val="2"/>
          <w:sz w:val="28"/>
          <w:szCs w:val="28"/>
        </w:rPr>
      </w:pPr>
    </w:p>
    <w:p>
      <w:pPr>
        <w:pStyle w:val="6"/>
        <w:spacing w:line="560" w:lineRule="exact"/>
        <w:rPr>
          <w:rFonts w:ascii="仿宋_GB2312" w:hAnsi="宋体" w:eastAsia="仿宋_GB2312" w:cs="Times New Roman"/>
          <w:color w:val="000000"/>
          <w:kern w:val="2"/>
          <w:sz w:val="28"/>
          <w:szCs w:val="28"/>
        </w:rPr>
      </w:pP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color w:val="000000"/>
          <w:sz w:val="24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② 根据E板件长度尺寸，切割分离B板件（如下图）。</w:t>
      </w:r>
    </w:p>
    <w:p>
      <w:pPr>
        <w:pStyle w:val="6"/>
        <w:jc w:val="center"/>
        <w:rPr>
          <w:rFonts w:ascii="宋体" w:hAnsi="宋体" w:eastAsia="宋体" w:cs="Times New Roman"/>
          <w:kern w:val="2"/>
          <w:sz w:val="28"/>
          <w:szCs w:val="28"/>
        </w:rPr>
      </w:pPr>
      <w:r>
        <w:rPr>
          <w:rFonts w:ascii="宋体" w:hAnsi="宋体" w:eastAsia="宋体" w:cs="Times New Roman"/>
          <w:kern w:val="2"/>
          <w:sz w:val="28"/>
          <w:szCs w:val="28"/>
        </w:rPr>
        <w:drawing>
          <wp:inline distT="0" distB="0" distL="0" distR="0">
            <wp:extent cx="3667125" cy="1952625"/>
            <wp:effectExtent l="19050" t="0" r="9525" b="0"/>
            <wp:docPr id="13" name="图片 8" descr="C:\Users\pc\AppData\Local\Temp\15476025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pc\AppData\Local\Temp\154760252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③E板件进行定位、焊接。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把E板件安装在B板上，进行对接焊（连续焊）。注：两端接口不需要整条焊接，只焊接B板平面部位即可。焊接时要求采取横焊姿势，焊接过程中不可翻转（如下图）。</w:t>
      </w:r>
    </w:p>
    <w:p>
      <w:pPr>
        <w:pStyle w:val="6"/>
        <w:ind w:firstLine="560" w:firstLineChars="200"/>
        <w:jc w:val="center"/>
        <w:rPr>
          <w:rFonts w:ascii="宋体" w:hAnsi="宋体" w:eastAsia="宋体" w:cs="Times New Roman"/>
          <w:kern w:val="2"/>
          <w:sz w:val="28"/>
          <w:szCs w:val="28"/>
        </w:rPr>
      </w:pPr>
      <w:r>
        <w:rPr>
          <w:rFonts w:ascii="宋体" w:hAnsi="宋体" w:eastAsia="宋体" w:cs="Times New Roman"/>
          <w:kern w:val="2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13970</wp:posOffset>
            </wp:positionV>
            <wp:extent cx="1450975" cy="2981325"/>
            <wp:effectExtent l="19050" t="0" r="0" b="0"/>
            <wp:wrapNone/>
            <wp:docPr id="14" name="图片 9" descr="C:\Users\pc\AppData\Local\Temp\15476026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C:\Users\pc\AppData\Local\Temp\154760265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before="240" w:line="560" w:lineRule="exact"/>
        <w:ind w:firstLine="480" w:firstLineChars="200"/>
        <w:rPr>
          <w:rFonts w:ascii="仿宋_GB2312" w:hAnsi="宋体" w:eastAsia="仿宋_GB2312" w:cs="Times New Roman"/>
          <w:color w:val="000000"/>
          <w:kern w:val="2"/>
          <w:sz w:val="24"/>
          <w:szCs w:val="28"/>
        </w:rPr>
      </w:pPr>
    </w:p>
    <w:p>
      <w:pPr>
        <w:pStyle w:val="6"/>
        <w:spacing w:before="240" w:line="560" w:lineRule="exact"/>
        <w:ind w:firstLine="480" w:firstLineChars="200"/>
        <w:rPr>
          <w:rFonts w:ascii="仿宋_GB2312" w:hAnsi="宋体" w:eastAsia="仿宋_GB2312" w:cs="Times New Roman"/>
          <w:color w:val="000000"/>
          <w:kern w:val="2"/>
          <w:sz w:val="24"/>
          <w:szCs w:val="28"/>
        </w:rPr>
      </w:pPr>
    </w:p>
    <w:p>
      <w:pPr>
        <w:pStyle w:val="6"/>
        <w:spacing w:before="240" w:line="560" w:lineRule="exact"/>
        <w:ind w:firstLine="480" w:firstLineChars="200"/>
        <w:rPr>
          <w:rFonts w:ascii="仿宋_GB2312" w:hAnsi="宋体" w:eastAsia="仿宋_GB2312" w:cs="Times New Roman"/>
          <w:color w:val="000000"/>
          <w:kern w:val="2"/>
          <w:sz w:val="24"/>
          <w:szCs w:val="28"/>
        </w:rPr>
      </w:pPr>
    </w:p>
    <w:p>
      <w:pPr>
        <w:pStyle w:val="6"/>
        <w:spacing w:before="240" w:line="560" w:lineRule="exact"/>
        <w:ind w:firstLine="480" w:firstLineChars="200"/>
        <w:rPr>
          <w:rFonts w:ascii="仿宋_GB2312" w:hAnsi="宋体" w:eastAsia="仿宋_GB2312" w:cs="Times New Roman"/>
          <w:color w:val="000000"/>
          <w:kern w:val="2"/>
          <w:sz w:val="24"/>
          <w:szCs w:val="28"/>
        </w:rPr>
      </w:pPr>
    </w:p>
    <w:p>
      <w:pPr>
        <w:pStyle w:val="6"/>
        <w:spacing w:before="240" w:line="360" w:lineRule="auto"/>
        <w:ind w:firstLine="480" w:firstLineChars="200"/>
        <w:rPr>
          <w:rFonts w:ascii="仿宋_GB2312" w:hAnsi="宋体" w:eastAsia="仿宋_GB2312" w:cs="Times New Roman"/>
          <w:color w:val="000000"/>
          <w:kern w:val="2"/>
          <w:sz w:val="24"/>
          <w:szCs w:val="28"/>
        </w:rPr>
      </w:pP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④D板件进行定位、焊接。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把D板件安装在A板上，进行对接焊（连续点焊）和塞孔焊。焊接时要求采取横焊姿势，焊接过程中不可翻转（如下图）。</w:t>
      </w:r>
    </w:p>
    <w:p>
      <w:pPr>
        <w:pStyle w:val="6"/>
        <w:spacing w:before="240"/>
        <w:ind w:firstLine="560" w:firstLineChars="200"/>
        <w:jc w:val="center"/>
        <w:rPr>
          <w:rFonts w:ascii="仿宋_GB2312" w:hAnsi="宋体" w:eastAsia="仿宋_GB2312"/>
          <w:color w:val="000000"/>
          <w:sz w:val="24"/>
          <w:szCs w:val="28"/>
        </w:rPr>
      </w:pPr>
      <w:r>
        <w:rPr>
          <w:rFonts w:ascii="宋体" w:hAnsi="宋体" w:eastAsia="宋体" w:cs="Times New Roman"/>
          <w:kern w:val="2"/>
          <w:sz w:val="28"/>
          <w:szCs w:val="28"/>
        </w:rPr>
        <w:drawing>
          <wp:inline distT="0" distB="0" distL="0" distR="0">
            <wp:extent cx="1405890" cy="3076575"/>
            <wp:effectExtent l="19050" t="0" r="3587" b="0"/>
            <wp:docPr id="15" name="图片 10" descr="C:\Users\pc\AppData\Local\Temp\15476027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C:\Users\pc\AppData\Local\Temp\1547602725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113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2.操作程序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（1）选手按照工作人员指示进入比赛场地。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（2）裁判确认选手号码是否与比赛程序相符。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（3）裁判给选手提供A、B、C、D、E板件和试焊片（保护焊和电阻点焊）。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（4）选手1分钟准备，裁判计时，比赛开始。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（5）选手穿戴个人防护用品。选手未穿戴好防护用品便开始操作，裁判要制止并要求选手穿戴好防护用品。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（6）选手将A、B、C板件进行组合、夹持、定位。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（7）选手调整电阻点焊设备，然后把A、B、C板件焊接起来。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color w:val="FF0000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（8）根据D、E板件长度尺寸，分别剥离A板和B板件。</w:t>
      </w:r>
      <w:r>
        <w:rPr>
          <w:rFonts w:hint="eastAsia" w:ascii="仿宋_GB2312" w:hAnsi="宋体" w:eastAsia="仿宋_GB2312"/>
          <w:color w:val="FF0000"/>
          <w:sz w:val="28"/>
          <w:szCs w:val="28"/>
        </w:rPr>
        <w:t>注：板件分离后，选手暂停操作，裁判停表，进行部分项目评分，经裁判示意后选手方可继续操作；去除后的板件要给裁判评分。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（9）选手分别将E板、D板安装在组合件上，定位、夹紧，使用气体保护焊按照要求进行焊接。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（10）选手把操作完毕的工件交给裁判，裁判在工件上标注选手的号码。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（11）比赛时间到，选手未完成操作，裁判要停止选手比赛，收回工件，在工件上标注选手的号码。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（12）选手焊接结束后关闭焊接设备，清洁、清理场地，按照裁判指示退场，由工作人员引导选手返回休息区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（13）裁判对选手的操作进行评分，重新调整设备、整理场地，等待下一位选手比赛。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（14）当日比赛结束后，要进行工件的测量评分。每个选手的工件评判后要单独包装封存，以便复查。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（15）比赛中由于设备故障问题导致比赛中断，裁判要停表，待设备调整好后补足剩余比赛时间。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3.考核要点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安全防护、设备调整及操作、切割尺寸、定位准确性、焊接缺陷、焊点大小、焊点间距、焊点与边缘距离、焊接质量、5S等。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4.技术要求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（1）电阻点焊焊接技术要求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①焊点失圆、外圈不连续、出现熔敷物等缺陷，判定此焊点不合格。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②焊点直径：≥</w:t>
      </w:r>
      <w:r>
        <w:rPr>
          <w:rFonts w:ascii="仿宋_GB2312" w:hAnsi="宋体" w:eastAsia="仿宋_GB2312"/>
          <w:sz w:val="28"/>
          <w:szCs w:val="28"/>
        </w:rPr>
        <w:t>4mm</w:t>
      </w:r>
      <w:r>
        <w:rPr>
          <w:rFonts w:hint="eastAsia" w:ascii="仿宋_GB2312" w:hAnsi="宋体" w:eastAsia="仿宋_GB2312"/>
          <w:sz w:val="28"/>
          <w:szCs w:val="28"/>
        </w:rPr>
        <w:t>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（2）气体保护焊焊接技术要求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①连续对接焊：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焊疤宽度：5-8mm；焊疤高度：≤2mm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②连续点焊：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焊疤宽度：3-6mm；焊疤高度：≤2mm 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③塞孔焊（9mm）：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焊点直径：10-13mm；焊点高度：≤2mm；背面焊疤最小直径：≥9mm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④塞孔焊（6mm）：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焊点直径：7-9mm；焊点高度：≤2mm</w:t>
      </w:r>
    </w:p>
    <w:p>
      <w:pPr>
        <w:tabs>
          <w:tab w:val="left" w:pos="1418"/>
        </w:tabs>
        <w:spacing w:before="156" w:beforeLines="50" w:line="560" w:lineRule="exac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（三）受损门板修复 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1.受损门板项目的受损位置、尺寸图片及作业要求：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在5</w:t>
      </w:r>
      <w:r>
        <w:rPr>
          <w:rFonts w:ascii="仿宋_GB2312" w:hAnsi="宋体" w:eastAsia="仿宋_GB2312"/>
          <w:sz w:val="28"/>
          <w:szCs w:val="28"/>
        </w:rPr>
        <w:t>0</w:t>
      </w:r>
      <w:r>
        <w:rPr>
          <w:rFonts w:hint="eastAsia" w:ascii="仿宋_GB2312" w:hAnsi="宋体" w:eastAsia="仿宋_GB2312"/>
          <w:sz w:val="28"/>
          <w:szCs w:val="28"/>
        </w:rPr>
        <w:t>分钟内，对奔腾教学专用门板上的条形凹陷（漆膜已破坏）进行修复，设置的条形凹陷损伤位置见下图，位于方框区域内。</w:t>
      </w:r>
    </w:p>
    <w:p>
      <w:pPr>
        <w:pStyle w:val="17"/>
        <w:tabs>
          <w:tab w:val="left" w:pos="885"/>
        </w:tabs>
        <w:spacing w:line="360" w:lineRule="auto"/>
        <w:ind w:left="420" w:firstLine="0" w:firstLineChars="0"/>
        <w:jc w:val="center"/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drawing>
          <wp:inline distT="0" distB="0" distL="0" distR="0">
            <wp:extent cx="3324225" cy="2128520"/>
            <wp:effectExtent l="19050" t="0" r="9525" b="0"/>
            <wp:docPr id="17" name="图片 4" descr="C:\Users\pc\AppData\Local\Temp\15529221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pc\AppData\Local\Temp\1552922113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845" cy="212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条形凹陷为纵向，损伤长度</w:t>
      </w:r>
      <w:r>
        <w:rPr>
          <w:rFonts w:ascii="仿宋_GB2312" w:hAnsi="宋体" w:eastAsia="仿宋_GB2312"/>
          <w:sz w:val="28"/>
          <w:szCs w:val="28"/>
        </w:rPr>
        <w:t>1</w:t>
      </w:r>
      <w:r>
        <w:rPr>
          <w:rFonts w:hint="eastAsia" w:ascii="仿宋_GB2312" w:hAnsi="宋体" w:eastAsia="仿宋_GB2312"/>
          <w:sz w:val="28"/>
          <w:szCs w:val="28"/>
        </w:rPr>
        <w:t>2</w:t>
      </w:r>
      <w:r>
        <w:rPr>
          <w:rFonts w:ascii="仿宋_GB2312" w:hAnsi="宋体" w:eastAsia="仿宋_GB2312"/>
          <w:sz w:val="28"/>
          <w:szCs w:val="28"/>
        </w:rPr>
        <w:t>0mm</w:t>
      </w:r>
      <w:r>
        <w:rPr>
          <w:rFonts w:hint="eastAsia" w:ascii="仿宋_GB2312" w:hAnsi="宋体" w:eastAsia="仿宋_GB2312"/>
          <w:sz w:val="28"/>
          <w:szCs w:val="28"/>
        </w:rPr>
        <w:t>，损伤宽度为</w:t>
      </w:r>
      <w:r>
        <w:rPr>
          <w:rFonts w:ascii="仿宋_GB2312" w:hAnsi="宋体" w:eastAsia="仿宋_GB2312"/>
          <w:sz w:val="28"/>
          <w:szCs w:val="28"/>
        </w:rPr>
        <w:t>40mm</w:t>
      </w:r>
      <w:r>
        <w:rPr>
          <w:rFonts w:hint="eastAsia" w:ascii="仿宋_GB2312" w:hAnsi="宋体" w:eastAsia="仿宋_GB2312"/>
          <w:sz w:val="28"/>
          <w:szCs w:val="28"/>
        </w:rPr>
        <w:t>；损伤深度为</w:t>
      </w:r>
      <w:r>
        <w:rPr>
          <w:rFonts w:ascii="仿宋_GB2312" w:hAnsi="宋体" w:eastAsia="仿宋_GB2312"/>
          <w:sz w:val="28"/>
          <w:szCs w:val="28"/>
        </w:rPr>
        <w:t>1</w:t>
      </w:r>
      <w:r>
        <w:rPr>
          <w:rFonts w:hint="eastAsia" w:ascii="仿宋_GB2312" w:hAnsi="宋体" w:eastAsia="仿宋_GB2312"/>
          <w:sz w:val="28"/>
          <w:szCs w:val="28"/>
        </w:rPr>
        <w:t>3</w:t>
      </w:r>
      <w:r>
        <w:rPr>
          <w:rFonts w:ascii="仿宋_GB2312" w:hAnsi="宋体" w:eastAsia="仿宋_GB2312"/>
          <w:sz w:val="28"/>
          <w:szCs w:val="28"/>
        </w:rPr>
        <w:t>mm</w:t>
      </w:r>
      <w:r>
        <w:rPr>
          <w:rFonts w:hint="eastAsia" w:ascii="仿宋_GB2312" w:hAnsi="宋体" w:eastAsia="仿宋_GB2312"/>
          <w:sz w:val="28"/>
          <w:szCs w:val="28"/>
        </w:rPr>
        <w:t>。</w:t>
      </w:r>
    </w:p>
    <w:p>
      <w:pPr>
        <w:tabs>
          <w:tab w:val="left" w:pos="885"/>
        </w:tabs>
        <w:jc w:val="center"/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drawing>
          <wp:inline distT="0" distB="0" distL="0" distR="0">
            <wp:extent cx="3000375" cy="1659890"/>
            <wp:effectExtent l="1905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6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选手对凹陷部位分析、打磨、合理使用工具及设备，按正确工艺进行损伤修复。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2.考核要点：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安全防护、设备调整及操作、修复后形状、5S等。修复后技术要求如下：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（1）打磨后裸金属为椭圆状，长轴≥240mm,短轴≥160mm。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（2）凹陷部位修复后高度低于原表面，差值≤1mm。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（3）车身线及面板在横向、立向上都应与专用卡尺吻合，不能超出</w:t>
      </w:r>
      <w:r>
        <w:rPr>
          <w:rFonts w:ascii="仿宋_GB2312" w:hAnsi="宋体" w:eastAsia="仿宋_GB2312"/>
          <w:sz w:val="28"/>
          <w:szCs w:val="28"/>
        </w:rPr>
        <w:t>±</w:t>
      </w:r>
      <w:r>
        <w:rPr>
          <w:rFonts w:hint="eastAsia" w:ascii="仿宋_GB2312" w:hAnsi="宋体" w:eastAsia="仿宋_GB2312"/>
          <w:sz w:val="28"/>
          <w:szCs w:val="28"/>
        </w:rPr>
        <w:t>1mm。</w:t>
      </w:r>
    </w:p>
    <w:p>
      <w:pPr>
        <w:tabs>
          <w:tab w:val="left" w:pos="885"/>
        </w:tabs>
        <w:spacing w:line="560" w:lineRule="exact"/>
        <w:ind w:firstLine="565" w:firstLineChars="202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ascii="仿宋_GB2312" w:hAnsi="宋体" w:eastAsia="仿宋_GB2312"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106045</wp:posOffset>
            </wp:positionV>
            <wp:extent cx="2400300" cy="1200150"/>
            <wp:effectExtent l="19050" t="0" r="0" b="0"/>
            <wp:wrapNone/>
            <wp:docPr id="7" name="图片 5" descr="C:\Users\pc\AppData\Local\Temp\15529794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pc\AppData\Local\Temp\1552979464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宋体" w:eastAsia="仿宋_GB2312"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106045</wp:posOffset>
            </wp:positionV>
            <wp:extent cx="2583815" cy="1200150"/>
            <wp:effectExtent l="19050" t="0" r="6985" b="0"/>
            <wp:wrapNone/>
            <wp:docPr id="6" name="图片 4" descr="C:\Users\pc\AppData\Local\Temp\1552979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pc\AppData\Local\Temp\155297926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85"/>
        </w:tabs>
        <w:ind w:firstLine="565" w:firstLineChars="202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tabs>
          <w:tab w:val="left" w:pos="885"/>
        </w:tabs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tabs>
          <w:tab w:val="left" w:pos="885"/>
        </w:tabs>
        <w:ind w:firstLine="565" w:firstLineChars="202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ascii="仿宋_GB2312" w:hAnsi="宋体" w:eastAsia="仿宋_GB2312"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203200</wp:posOffset>
            </wp:positionV>
            <wp:extent cx="2400300" cy="1628775"/>
            <wp:effectExtent l="19050" t="0" r="0" b="0"/>
            <wp:wrapNone/>
            <wp:docPr id="19" name="图片 7" descr="C:\Users\pc\AppData\Local\Temp\1552980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C:\Users\pc\AppData\Local\Temp\1552980253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宋体" w:eastAsia="仿宋_GB2312"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163195</wp:posOffset>
            </wp:positionV>
            <wp:extent cx="2588260" cy="1668145"/>
            <wp:effectExtent l="19050" t="0" r="2540" b="0"/>
            <wp:wrapNone/>
            <wp:docPr id="18" name="图片 6" descr="C:\Users\pc\AppData\Local\Temp\15529795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Users\pc\AppData\Local\Temp\1552979583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6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85"/>
        </w:tabs>
        <w:ind w:firstLine="425" w:firstLineChars="152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tabs>
          <w:tab w:val="left" w:pos="885"/>
        </w:tabs>
        <w:ind w:firstLine="565" w:firstLineChars="202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tabs>
          <w:tab w:val="left" w:pos="885"/>
        </w:tabs>
        <w:spacing w:line="360" w:lineRule="auto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tabs>
          <w:tab w:val="left" w:pos="885"/>
        </w:tabs>
        <w:spacing w:line="360" w:lineRule="auto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tabs>
          <w:tab w:val="left" w:pos="885"/>
        </w:tabs>
        <w:spacing w:line="360" w:lineRule="auto"/>
        <w:jc w:val="center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ascii="仿宋_GB2312" w:hAnsi="宋体" w:eastAsia="仿宋_GB2312"/>
          <w:color w:val="000000"/>
          <w:sz w:val="28"/>
          <w:szCs w:val="28"/>
        </w:rPr>
        <w:drawing>
          <wp:inline distT="0" distB="0" distL="0" distR="0">
            <wp:extent cx="3371850" cy="2002155"/>
            <wp:effectExtent l="19050" t="0" r="0" b="0"/>
            <wp:docPr id="20" name="图片 8" descr="C:\Users\pc\AppData\Local\Temp\15529804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C:\Users\pc\AppData\Local\Temp\1552980428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072" cy="200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（4）凹陷部位修复后高度不得高于原表面。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（5）凹陷部位修复后不得有孔洞。</w:t>
      </w:r>
    </w:p>
    <w:p>
      <w:pPr>
        <w:spacing w:before="156" w:beforeLines="50"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五、实操比赛分值分配及评分标准</w:t>
      </w:r>
    </w:p>
    <w:p>
      <w:pPr>
        <w:spacing w:line="560" w:lineRule="exact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（一）车身电子测量和校正项目（占总分值30%）</w:t>
      </w:r>
    </w:p>
    <w:tbl>
      <w:tblPr>
        <w:tblStyle w:val="10"/>
        <w:tblW w:w="8861" w:type="dxa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701"/>
        <w:gridCol w:w="50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项目</w:t>
            </w:r>
          </w:p>
        </w:tc>
        <w:tc>
          <w:tcPr>
            <w:tcW w:w="1701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分值比例</w:t>
            </w:r>
          </w:p>
        </w:tc>
        <w:tc>
          <w:tcPr>
            <w:tcW w:w="5034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评分标准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工艺流程及</w:t>
            </w:r>
          </w:p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作业质量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70%</w:t>
            </w:r>
          </w:p>
        </w:tc>
        <w:tc>
          <w:tcPr>
            <w:tcW w:w="5034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测量点及测量探头选择正确，测量数据的准确性，校正数据的准确性，无过拉伸；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设备操作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20%</w:t>
            </w:r>
          </w:p>
        </w:tc>
        <w:tc>
          <w:tcPr>
            <w:tcW w:w="5034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校正设备使用符合规范，测量设备使用符合规范；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5S规范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10%</w:t>
            </w:r>
          </w:p>
        </w:tc>
        <w:tc>
          <w:tcPr>
            <w:tcW w:w="5034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符合安全操作规程；工、量具摆放整齐；遵守赛场纪律，尊重赛场工作人员，爱惜赛场的设备和器材，保持工位的整洁。</w:t>
            </w:r>
          </w:p>
        </w:tc>
      </w:tr>
    </w:tbl>
    <w:p>
      <w:pPr>
        <w:spacing w:line="560" w:lineRule="exact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（二）板件更换项目（占总分值40%）</w:t>
      </w:r>
    </w:p>
    <w:tbl>
      <w:tblPr>
        <w:tblStyle w:val="10"/>
        <w:tblW w:w="8885" w:type="dxa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803"/>
        <w:gridCol w:w="4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项目</w:t>
            </w:r>
          </w:p>
        </w:tc>
        <w:tc>
          <w:tcPr>
            <w:tcW w:w="1803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分值比例</w:t>
            </w:r>
          </w:p>
        </w:tc>
        <w:tc>
          <w:tcPr>
            <w:tcW w:w="4956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评分标准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工艺流程及工件质量</w:t>
            </w:r>
          </w:p>
        </w:tc>
        <w:tc>
          <w:tcPr>
            <w:tcW w:w="1803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70%</w:t>
            </w:r>
          </w:p>
        </w:tc>
        <w:tc>
          <w:tcPr>
            <w:tcW w:w="495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切割尺寸符合要求，电阻点焊符合尺寸要求，塞焊符合尺寸要求，对接焊符合尺寸要求；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设备操作</w:t>
            </w:r>
          </w:p>
        </w:tc>
        <w:tc>
          <w:tcPr>
            <w:tcW w:w="1803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20%</w:t>
            </w:r>
          </w:p>
        </w:tc>
        <w:tc>
          <w:tcPr>
            <w:tcW w:w="495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保护焊及电阻点焊焊接参数符合要求，各种工具使用符合规范；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5S规范</w:t>
            </w:r>
          </w:p>
        </w:tc>
        <w:tc>
          <w:tcPr>
            <w:tcW w:w="1803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10%</w:t>
            </w:r>
          </w:p>
        </w:tc>
        <w:tc>
          <w:tcPr>
            <w:tcW w:w="495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符合安全操作规程；工、量具摆放整齐；遵守赛场纪律，尊重赛场工作人员，爱惜赛场的设备和器材，保持工位的整洁。</w:t>
            </w:r>
          </w:p>
        </w:tc>
      </w:tr>
    </w:tbl>
    <w:p>
      <w:pPr>
        <w:spacing w:line="560" w:lineRule="exact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（三）受损门板修复项目（占总分值30%）</w:t>
      </w:r>
    </w:p>
    <w:tbl>
      <w:tblPr>
        <w:tblStyle w:val="10"/>
        <w:tblW w:w="8885" w:type="dxa"/>
        <w:tblInd w:w="-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803"/>
        <w:gridCol w:w="4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项目</w:t>
            </w:r>
          </w:p>
        </w:tc>
        <w:tc>
          <w:tcPr>
            <w:tcW w:w="1803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分值比例</w:t>
            </w:r>
          </w:p>
        </w:tc>
        <w:tc>
          <w:tcPr>
            <w:tcW w:w="4956" w:type="dxa"/>
          </w:tcPr>
          <w:p>
            <w:pPr>
              <w:tabs>
                <w:tab w:val="left" w:pos="885"/>
              </w:tabs>
              <w:jc w:val="center"/>
              <w:rPr>
                <w:rFonts w:ascii="仿宋_GB2312" w:hAnsi="宋体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评分标准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工艺流程及维修质量</w:t>
            </w:r>
          </w:p>
        </w:tc>
        <w:tc>
          <w:tcPr>
            <w:tcW w:w="1803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70%</w:t>
            </w:r>
          </w:p>
        </w:tc>
        <w:tc>
          <w:tcPr>
            <w:tcW w:w="495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维修区域板面不能高于原表面，不能低于原表面1mm，板面不能出现孔洞，板面平整度符合规范；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设备操作</w:t>
            </w:r>
          </w:p>
        </w:tc>
        <w:tc>
          <w:tcPr>
            <w:tcW w:w="1803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20%</w:t>
            </w:r>
          </w:p>
        </w:tc>
        <w:tc>
          <w:tcPr>
            <w:tcW w:w="495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外形修复机焊接参数符合要求，整形工具及组合工具使用符合规范；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5S规范</w:t>
            </w:r>
          </w:p>
        </w:tc>
        <w:tc>
          <w:tcPr>
            <w:tcW w:w="1803" w:type="dxa"/>
            <w:vAlign w:val="center"/>
          </w:tcPr>
          <w:p>
            <w:pPr>
              <w:tabs>
                <w:tab w:val="left" w:pos="885"/>
              </w:tabs>
              <w:ind w:firstLine="712" w:firstLineChars="297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10%</w:t>
            </w:r>
          </w:p>
        </w:tc>
        <w:tc>
          <w:tcPr>
            <w:tcW w:w="4956" w:type="dxa"/>
            <w:vAlign w:val="center"/>
          </w:tcPr>
          <w:p>
            <w:pPr>
              <w:tabs>
                <w:tab w:val="left" w:pos="885"/>
              </w:tabs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符合安全操作规程；工、量具摆放整齐；遵守赛场纪律，尊重赛场工作人员，爱惜赛场的设备和器材，保持工位的整洁。</w:t>
            </w:r>
          </w:p>
        </w:tc>
      </w:tr>
    </w:tbl>
    <w:p>
      <w:pPr>
        <w:spacing w:before="156" w:beforeLines="50"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六、比赛需要工量具、配件辅料和设备</w:t>
      </w:r>
    </w:p>
    <w:p>
      <w:pPr>
        <w:spacing w:line="560" w:lineRule="exact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（一）选手自备：安全鞋（带铁包头）、焊接口罩</w:t>
      </w:r>
    </w:p>
    <w:p>
      <w:pPr>
        <w:spacing w:line="560" w:lineRule="exact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（二）比赛现场提供：</w:t>
      </w:r>
    </w:p>
    <w:tbl>
      <w:tblPr>
        <w:tblStyle w:val="10"/>
        <w:tblW w:w="8379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2494"/>
        <w:gridCol w:w="3119"/>
        <w:gridCol w:w="1134"/>
        <w:gridCol w:w="11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黑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黑体" w:eastAsia="仿宋_GB2312" w:cs="宋体"/>
                <w:b/>
                <w:kern w:val="0"/>
                <w:sz w:val="24"/>
              </w:rPr>
              <w:t>一</w:t>
            </w:r>
          </w:p>
        </w:tc>
        <w:tc>
          <w:tcPr>
            <w:tcW w:w="788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黑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黑体" w:eastAsia="仿宋_GB2312" w:cs="宋体"/>
                <w:b/>
                <w:kern w:val="0"/>
                <w:sz w:val="24"/>
              </w:rPr>
              <w:t>车身电子测量与校正项目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编号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241" w:firstLineChars="100"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器材名称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型号及规格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超声波电子测量系统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Bantam-Shark3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车身校正仪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Bantam-B2E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防护眼镜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无色透明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安全帽（硬质）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棉纱手套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黑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黑体" w:eastAsia="仿宋_GB2312" w:cs="Arial"/>
                <w:b/>
                <w:kern w:val="0"/>
                <w:sz w:val="24"/>
              </w:rPr>
              <w:t>二</w:t>
            </w:r>
          </w:p>
        </w:tc>
        <w:tc>
          <w:tcPr>
            <w:tcW w:w="788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黑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黑体" w:eastAsia="仿宋_GB2312" w:cs="Arial"/>
                <w:b/>
                <w:kern w:val="0"/>
                <w:sz w:val="24"/>
              </w:rPr>
              <w:t>板件更换项目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编号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241" w:firstLineChars="100"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器材名称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型号及规格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电阻点焊机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Bantam-Fan-I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气体保护焊机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Bantam–Fan- V1500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移动式焊接烟雾抽排系统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BANTAM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7抽工具车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C-7DA2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工具车钳工台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C-A9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6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台虎钳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C-A8（4”）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7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C型大力钳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P37M11A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8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大力钳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P32M10A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9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焊接大力钳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120" w:hanging="120" w:hangingChars="50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P38M11A 11’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10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斜嘴钳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P106A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划针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MTC155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气动环带打磨机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JAS-0451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气动焊点去除钻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JAG-1015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钻头（平头钻）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Φ8mm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气动切割锯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JAT-1011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16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气动切割锯条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JAT-10T24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20件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17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可互换钣金维修快拆组（护手錾子套装）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AG-010141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1套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18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样冲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M64105S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19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玻璃纤维柄圆头锤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M0416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AR减压器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气保焊喷嘴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V1500专用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10个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气保焊导电嘴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Φ0.6mm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10个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砂带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10*330mm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钢板尺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500mm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垫块（自制）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用于冲中心点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1块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26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板件固定夹具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用于横焊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27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焊接铁桌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65×47×80cm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1张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28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试焊片A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125mm×35mm×0.7mm 镀锌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29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试焊片B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125mm×35mm×1.2mm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30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试焊片C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125mm×35mm×1mm镀锌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试焊片D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125mm×70mm×1mm 镀锌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试焊片E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125mm×70mm×0.7mm（有15个6mm孔）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试焊片F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125mm×70mm×1.2mm（有15个8mm孔）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试焊片G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125mm×70mm×0.7mm（有15个9mm孔）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划规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20CM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36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焊接防粘膏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37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焊丝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Φ0.6mm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38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游标卡尺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MTC1200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39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自变色焊接面罩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保护焊用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40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面罩外保护片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透明面罩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电阻点焊用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工作帽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米白色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防噪音耳罩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棉纱手套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焊接手套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46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焊接护腿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47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焊接工作服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1套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火狐狸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48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防尘口罩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49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焊接口罩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50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瓶装</w:t>
            </w:r>
            <w:r>
              <w:rPr>
                <w:rFonts w:hint="eastAsia" w:ascii="仿宋_GB2312" w:eastAsia="仿宋_GB2312"/>
                <w:sz w:val="24"/>
              </w:rPr>
              <w:t>保护气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二氧化碳25%氩气75%（混合气）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2瓶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51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黑、白记号笔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各10支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黑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黑体" w:eastAsia="仿宋_GB2312" w:cs="Arial"/>
                <w:b/>
                <w:kern w:val="0"/>
                <w:sz w:val="24"/>
              </w:rPr>
              <w:t>三</w:t>
            </w:r>
          </w:p>
        </w:tc>
        <w:tc>
          <w:tcPr>
            <w:tcW w:w="788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黑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黑体" w:eastAsia="仿宋_GB2312" w:cs="Arial"/>
                <w:b/>
                <w:kern w:val="0"/>
                <w:sz w:val="24"/>
              </w:rPr>
              <w:t>门板修复项目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编号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241" w:firstLineChars="100"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器材名称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型号及规格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钣金工作站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Bantam-B3000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1套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乐风车门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右前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大赛专用门板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车门支架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门板测量专用卡尺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乐风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1套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6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平挫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MF07A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7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气动环带打磨机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JAS-0451</w:t>
            </w:r>
          </w:p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(10*330MM)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8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轨道式自生成真空打磨机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JAS-1020-5HE</w:t>
            </w:r>
          </w:p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(5”)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9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6件套汽车钣金工具组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AG010030A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1套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10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圆口大力钳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P32M10A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6把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手磨板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125*70mm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5"砂纸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60目、80目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各300张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长条砂纸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70*125mm；P80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20张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14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砂带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10*330mm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100条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15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耳罩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16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棉纱手套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17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防尘口罩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20副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18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护目镜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无色透明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10个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19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工作帽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米白色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若干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20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气管（配公母快速接头）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内径8mm（公制）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8根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编</w:t>
            </w:r>
            <w:r>
              <w:rPr>
                <w:rFonts w:hint="eastAsia" w:ascii="仿宋_GB2312" w:hAnsi="宋体" w:eastAsia="仿宋_GB2312" w:cs="Arial"/>
                <w:b/>
                <w:kern w:val="0"/>
                <w:sz w:val="24"/>
              </w:rPr>
              <w:t>号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其他物品名称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型号及规格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Arial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1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电源插座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220V配10m线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5个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2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抹布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40块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3</w:t>
            </w:r>
          </w:p>
        </w:tc>
        <w:tc>
          <w:tcPr>
            <w:tcW w:w="24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工作服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40件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Arial"/>
                <w:kern w:val="0"/>
                <w:sz w:val="24"/>
              </w:rPr>
            </w:pPr>
            <w:r>
              <w:rPr>
                <w:rFonts w:hint="eastAsia" w:ascii="仿宋_GB2312" w:hAnsi="宋体" w:eastAsia="仿宋_GB2312" w:cs="Arial"/>
                <w:kern w:val="0"/>
                <w:sz w:val="24"/>
              </w:rPr>
              <w:t>奔腾</w:t>
            </w:r>
          </w:p>
        </w:tc>
      </w:tr>
    </w:tbl>
    <w:p>
      <w:pPr>
        <w:spacing w:line="360" w:lineRule="auto"/>
        <w:ind w:firstLine="240" w:firstLineChars="100"/>
        <w:rPr>
          <w:rFonts w:ascii="仿宋_GB2312" w:hAnsi="宋体" w:eastAsia="仿宋_GB2312"/>
          <w:color w:val="000000"/>
          <w:sz w:val="24"/>
          <w:szCs w:val="28"/>
        </w:rPr>
      </w:pPr>
    </w:p>
    <w:p>
      <w:pPr>
        <w:spacing w:before="156" w:beforeLines="50" w:line="560" w:lineRule="exact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七、比赛相关的技术资料</w:t>
      </w:r>
    </w:p>
    <w:p>
      <w:pPr>
        <w:spacing w:line="560" w:lineRule="exact"/>
        <w:ind w:firstLine="565" w:firstLineChars="202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中国汽车维修行业协会组织编写，中国交通运输部运输司负责审定，人民交通出版社出版的《车身修复（模块F）第二版》。</w:t>
      </w:r>
    </w:p>
    <w:p>
      <w:pPr>
        <w:spacing w:line="360" w:lineRule="auto"/>
        <w:ind w:firstLine="444" w:firstLineChars="202"/>
        <w:rPr>
          <w:color w:val="000000"/>
          <w:sz w:val="24"/>
          <w:szCs w:val="28"/>
        </w:rPr>
      </w:pPr>
      <w:r>
        <w:rPr>
          <w:rFonts w:ascii="宋体" w:hAnsi="宋体" w:cs="宋体"/>
          <w:kern w:val="0"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7848600</wp:posOffset>
            </wp:positionH>
            <wp:positionV relativeFrom="paragraph">
              <wp:posOffset>771525</wp:posOffset>
            </wp:positionV>
            <wp:extent cx="3540760" cy="2725420"/>
            <wp:effectExtent l="19050" t="0" r="254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7848600</wp:posOffset>
            </wp:positionH>
            <wp:positionV relativeFrom="paragraph">
              <wp:posOffset>771525</wp:posOffset>
            </wp:positionV>
            <wp:extent cx="3540760" cy="2725420"/>
            <wp:effectExtent l="19050" t="0" r="254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C3F"/>
    <w:rsid w:val="00003923"/>
    <w:rsid w:val="00015D88"/>
    <w:rsid w:val="00024623"/>
    <w:rsid w:val="0003286C"/>
    <w:rsid w:val="000341F5"/>
    <w:rsid w:val="00040DA3"/>
    <w:rsid w:val="00052973"/>
    <w:rsid w:val="000552DB"/>
    <w:rsid w:val="00062AF9"/>
    <w:rsid w:val="00065839"/>
    <w:rsid w:val="00067C2B"/>
    <w:rsid w:val="00067D0A"/>
    <w:rsid w:val="000704CE"/>
    <w:rsid w:val="00071011"/>
    <w:rsid w:val="00073C1E"/>
    <w:rsid w:val="00075E06"/>
    <w:rsid w:val="00076AF2"/>
    <w:rsid w:val="00081DFD"/>
    <w:rsid w:val="0008427A"/>
    <w:rsid w:val="00090576"/>
    <w:rsid w:val="000A4AF6"/>
    <w:rsid w:val="000A52BC"/>
    <w:rsid w:val="000A6C54"/>
    <w:rsid w:val="000B52E1"/>
    <w:rsid w:val="000D152A"/>
    <w:rsid w:val="000D21D6"/>
    <w:rsid w:val="000D5894"/>
    <w:rsid w:val="000E2DA9"/>
    <w:rsid w:val="000E3881"/>
    <w:rsid w:val="000E52F4"/>
    <w:rsid w:val="000F48DA"/>
    <w:rsid w:val="000F6006"/>
    <w:rsid w:val="000F6620"/>
    <w:rsid w:val="00106D09"/>
    <w:rsid w:val="00107137"/>
    <w:rsid w:val="001100DB"/>
    <w:rsid w:val="001218FA"/>
    <w:rsid w:val="0012278F"/>
    <w:rsid w:val="00130511"/>
    <w:rsid w:val="00137BB5"/>
    <w:rsid w:val="00141448"/>
    <w:rsid w:val="00153990"/>
    <w:rsid w:val="0015423A"/>
    <w:rsid w:val="0015620B"/>
    <w:rsid w:val="00173640"/>
    <w:rsid w:val="00176014"/>
    <w:rsid w:val="00181B3B"/>
    <w:rsid w:val="00194C83"/>
    <w:rsid w:val="0019634C"/>
    <w:rsid w:val="001A2045"/>
    <w:rsid w:val="001B0EE3"/>
    <w:rsid w:val="001B6BA8"/>
    <w:rsid w:val="001C1107"/>
    <w:rsid w:val="001C623F"/>
    <w:rsid w:val="001D0DC7"/>
    <w:rsid w:val="001E25F2"/>
    <w:rsid w:val="001E3BB5"/>
    <w:rsid w:val="001F15CA"/>
    <w:rsid w:val="001F5455"/>
    <w:rsid w:val="00210FE6"/>
    <w:rsid w:val="00214F3A"/>
    <w:rsid w:val="00217E63"/>
    <w:rsid w:val="00220572"/>
    <w:rsid w:val="00224543"/>
    <w:rsid w:val="00226892"/>
    <w:rsid w:val="00227DC7"/>
    <w:rsid w:val="002343A7"/>
    <w:rsid w:val="0024507D"/>
    <w:rsid w:val="00250F63"/>
    <w:rsid w:val="00254A20"/>
    <w:rsid w:val="00257006"/>
    <w:rsid w:val="002733DE"/>
    <w:rsid w:val="00274C7B"/>
    <w:rsid w:val="00276FCF"/>
    <w:rsid w:val="002847AC"/>
    <w:rsid w:val="002851DF"/>
    <w:rsid w:val="0029768F"/>
    <w:rsid w:val="002A00DA"/>
    <w:rsid w:val="002A38E7"/>
    <w:rsid w:val="002A3B79"/>
    <w:rsid w:val="002A4F7A"/>
    <w:rsid w:val="002A7B17"/>
    <w:rsid w:val="002B1604"/>
    <w:rsid w:val="002B41E1"/>
    <w:rsid w:val="002B5E12"/>
    <w:rsid w:val="002C4746"/>
    <w:rsid w:val="002C5ABD"/>
    <w:rsid w:val="002D28C1"/>
    <w:rsid w:val="002D4C28"/>
    <w:rsid w:val="002D7693"/>
    <w:rsid w:val="002E18FC"/>
    <w:rsid w:val="002F57C9"/>
    <w:rsid w:val="00300BFF"/>
    <w:rsid w:val="0030796F"/>
    <w:rsid w:val="00313078"/>
    <w:rsid w:val="00316261"/>
    <w:rsid w:val="00316BAE"/>
    <w:rsid w:val="00317BC4"/>
    <w:rsid w:val="00323B87"/>
    <w:rsid w:val="0032483D"/>
    <w:rsid w:val="00326B81"/>
    <w:rsid w:val="003317D1"/>
    <w:rsid w:val="00337A42"/>
    <w:rsid w:val="00340DC6"/>
    <w:rsid w:val="00346781"/>
    <w:rsid w:val="003468E1"/>
    <w:rsid w:val="00366EBB"/>
    <w:rsid w:val="00377C3B"/>
    <w:rsid w:val="00385FBA"/>
    <w:rsid w:val="00397C36"/>
    <w:rsid w:val="003B38CF"/>
    <w:rsid w:val="003B3F1B"/>
    <w:rsid w:val="003C7195"/>
    <w:rsid w:val="003D0AA3"/>
    <w:rsid w:val="003D4CAF"/>
    <w:rsid w:val="003D695B"/>
    <w:rsid w:val="003E16A9"/>
    <w:rsid w:val="003F1E3F"/>
    <w:rsid w:val="003F42B6"/>
    <w:rsid w:val="0040134A"/>
    <w:rsid w:val="0040348B"/>
    <w:rsid w:val="00405046"/>
    <w:rsid w:val="00405DE4"/>
    <w:rsid w:val="004067C5"/>
    <w:rsid w:val="0041282D"/>
    <w:rsid w:val="00412C3F"/>
    <w:rsid w:val="00420F7A"/>
    <w:rsid w:val="00422B32"/>
    <w:rsid w:val="00422FF4"/>
    <w:rsid w:val="004254E4"/>
    <w:rsid w:val="00426285"/>
    <w:rsid w:val="00427570"/>
    <w:rsid w:val="00432C2F"/>
    <w:rsid w:val="0044135A"/>
    <w:rsid w:val="00446B94"/>
    <w:rsid w:val="0045322B"/>
    <w:rsid w:val="004572D7"/>
    <w:rsid w:val="004601DD"/>
    <w:rsid w:val="004632AB"/>
    <w:rsid w:val="00463A93"/>
    <w:rsid w:val="004660B4"/>
    <w:rsid w:val="00466E9D"/>
    <w:rsid w:val="00467EEB"/>
    <w:rsid w:val="0047079A"/>
    <w:rsid w:val="00475914"/>
    <w:rsid w:val="00480F38"/>
    <w:rsid w:val="0048227D"/>
    <w:rsid w:val="00484A2A"/>
    <w:rsid w:val="00487B59"/>
    <w:rsid w:val="0049575A"/>
    <w:rsid w:val="004A07A9"/>
    <w:rsid w:val="004A531B"/>
    <w:rsid w:val="004A67C9"/>
    <w:rsid w:val="004B24D0"/>
    <w:rsid w:val="004B619C"/>
    <w:rsid w:val="004C220D"/>
    <w:rsid w:val="004C5DBC"/>
    <w:rsid w:val="004C6180"/>
    <w:rsid w:val="004D08C9"/>
    <w:rsid w:val="004D5CED"/>
    <w:rsid w:val="004F4BEF"/>
    <w:rsid w:val="004F7E65"/>
    <w:rsid w:val="00504C59"/>
    <w:rsid w:val="00504E51"/>
    <w:rsid w:val="005062C6"/>
    <w:rsid w:val="00506875"/>
    <w:rsid w:val="005106C7"/>
    <w:rsid w:val="00513A13"/>
    <w:rsid w:val="00514EE3"/>
    <w:rsid w:val="00517151"/>
    <w:rsid w:val="005246F7"/>
    <w:rsid w:val="00534C0B"/>
    <w:rsid w:val="0053694E"/>
    <w:rsid w:val="005412E2"/>
    <w:rsid w:val="0055219F"/>
    <w:rsid w:val="00553D6F"/>
    <w:rsid w:val="0055410D"/>
    <w:rsid w:val="00555FB7"/>
    <w:rsid w:val="00556638"/>
    <w:rsid w:val="005619D3"/>
    <w:rsid w:val="00561A2C"/>
    <w:rsid w:val="005A0DE1"/>
    <w:rsid w:val="005B1BD3"/>
    <w:rsid w:val="005C35BF"/>
    <w:rsid w:val="005C5499"/>
    <w:rsid w:val="005C754E"/>
    <w:rsid w:val="005D0957"/>
    <w:rsid w:val="005F64DE"/>
    <w:rsid w:val="005F77E3"/>
    <w:rsid w:val="00602755"/>
    <w:rsid w:val="00604512"/>
    <w:rsid w:val="00622829"/>
    <w:rsid w:val="00631524"/>
    <w:rsid w:val="00636670"/>
    <w:rsid w:val="00641337"/>
    <w:rsid w:val="006468A0"/>
    <w:rsid w:val="00655010"/>
    <w:rsid w:val="00655E42"/>
    <w:rsid w:val="0065768B"/>
    <w:rsid w:val="0065785A"/>
    <w:rsid w:val="0065796B"/>
    <w:rsid w:val="006609FC"/>
    <w:rsid w:val="0066585B"/>
    <w:rsid w:val="00667CE9"/>
    <w:rsid w:val="00673067"/>
    <w:rsid w:val="00677F84"/>
    <w:rsid w:val="00683A0E"/>
    <w:rsid w:val="00683F05"/>
    <w:rsid w:val="00687F6D"/>
    <w:rsid w:val="00692D3F"/>
    <w:rsid w:val="0069304C"/>
    <w:rsid w:val="006933CD"/>
    <w:rsid w:val="006969CE"/>
    <w:rsid w:val="006A34E8"/>
    <w:rsid w:val="006A6D6E"/>
    <w:rsid w:val="006A7D15"/>
    <w:rsid w:val="006B3C1F"/>
    <w:rsid w:val="006B473B"/>
    <w:rsid w:val="006B6122"/>
    <w:rsid w:val="006C0C83"/>
    <w:rsid w:val="006C11EB"/>
    <w:rsid w:val="006C37B5"/>
    <w:rsid w:val="006D0FB7"/>
    <w:rsid w:val="00702951"/>
    <w:rsid w:val="00713F05"/>
    <w:rsid w:val="00715BB3"/>
    <w:rsid w:val="00716007"/>
    <w:rsid w:val="0071690C"/>
    <w:rsid w:val="00717FD8"/>
    <w:rsid w:val="007203C1"/>
    <w:rsid w:val="00723574"/>
    <w:rsid w:val="007328D7"/>
    <w:rsid w:val="00733BDB"/>
    <w:rsid w:val="0073591A"/>
    <w:rsid w:val="00736CA3"/>
    <w:rsid w:val="007401A5"/>
    <w:rsid w:val="00745448"/>
    <w:rsid w:val="00752316"/>
    <w:rsid w:val="007573D6"/>
    <w:rsid w:val="0076042A"/>
    <w:rsid w:val="00761ABF"/>
    <w:rsid w:val="00763055"/>
    <w:rsid w:val="00763CED"/>
    <w:rsid w:val="007648A1"/>
    <w:rsid w:val="00765B9C"/>
    <w:rsid w:val="00770767"/>
    <w:rsid w:val="007723D6"/>
    <w:rsid w:val="0077760C"/>
    <w:rsid w:val="0078221C"/>
    <w:rsid w:val="007857AF"/>
    <w:rsid w:val="0078628E"/>
    <w:rsid w:val="00793F14"/>
    <w:rsid w:val="007A01C9"/>
    <w:rsid w:val="007A352B"/>
    <w:rsid w:val="007B2E74"/>
    <w:rsid w:val="007B5765"/>
    <w:rsid w:val="007B6529"/>
    <w:rsid w:val="007C0225"/>
    <w:rsid w:val="007C112C"/>
    <w:rsid w:val="007C11DA"/>
    <w:rsid w:val="007C1AEB"/>
    <w:rsid w:val="007C51D5"/>
    <w:rsid w:val="007D3671"/>
    <w:rsid w:val="007D4443"/>
    <w:rsid w:val="007E0705"/>
    <w:rsid w:val="007E3998"/>
    <w:rsid w:val="007E54F9"/>
    <w:rsid w:val="007F2576"/>
    <w:rsid w:val="008007E5"/>
    <w:rsid w:val="00800DAB"/>
    <w:rsid w:val="008035BD"/>
    <w:rsid w:val="00810972"/>
    <w:rsid w:val="00823DEB"/>
    <w:rsid w:val="00844FA1"/>
    <w:rsid w:val="00845110"/>
    <w:rsid w:val="00845357"/>
    <w:rsid w:val="00850E4D"/>
    <w:rsid w:val="008603FD"/>
    <w:rsid w:val="008604CD"/>
    <w:rsid w:val="008717CC"/>
    <w:rsid w:val="0087563B"/>
    <w:rsid w:val="0088112E"/>
    <w:rsid w:val="00890288"/>
    <w:rsid w:val="008920F6"/>
    <w:rsid w:val="008922EF"/>
    <w:rsid w:val="0089249E"/>
    <w:rsid w:val="00894B2F"/>
    <w:rsid w:val="00896EBE"/>
    <w:rsid w:val="00897624"/>
    <w:rsid w:val="008A300E"/>
    <w:rsid w:val="008B05CC"/>
    <w:rsid w:val="008C1313"/>
    <w:rsid w:val="008D0CC9"/>
    <w:rsid w:val="008D2008"/>
    <w:rsid w:val="008D6F82"/>
    <w:rsid w:val="008D7949"/>
    <w:rsid w:val="008E4E3E"/>
    <w:rsid w:val="008E5B8C"/>
    <w:rsid w:val="008E6501"/>
    <w:rsid w:val="008E7F54"/>
    <w:rsid w:val="008F7CEB"/>
    <w:rsid w:val="0090181F"/>
    <w:rsid w:val="00905557"/>
    <w:rsid w:val="00905DC7"/>
    <w:rsid w:val="0091154B"/>
    <w:rsid w:val="00913170"/>
    <w:rsid w:val="00914150"/>
    <w:rsid w:val="009146B2"/>
    <w:rsid w:val="00915938"/>
    <w:rsid w:val="00916CE2"/>
    <w:rsid w:val="00917524"/>
    <w:rsid w:val="009208BA"/>
    <w:rsid w:val="0092312E"/>
    <w:rsid w:val="00926D48"/>
    <w:rsid w:val="0093646A"/>
    <w:rsid w:val="00951DA4"/>
    <w:rsid w:val="00954CFC"/>
    <w:rsid w:val="00954E80"/>
    <w:rsid w:val="00955348"/>
    <w:rsid w:val="00956B4D"/>
    <w:rsid w:val="00971404"/>
    <w:rsid w:val="00971A2E"/>
    <w:rsid w:val="00972F20"/>
    <w:rsid w:val="00983F87"/>
    <w:rsid w:val="00993E58"/>
    <w:rsid w:val="009B2E33"/>
    <w:rsid w:val="009B5226"/>
    <w:rsid w:val="009C439A"/>
    <w:rsid w:val="009D5E52"/>
    <w:rsid w:val="009D643A"/>
    <w:rsid w:val="009F217C"/>
    <w:rsid w:val="00A1225D"/>
    <w:rsid w:val="00A130ED"/>
    <w:rsid w:val="00A4201A"/>
    <w:rsid w:val="00A525C2"/>
    <w:rsid w:val="00A5268C"/>
    <w:rsid w:val="00A55379"/>
    <w:rsid w:val="00A64352"/>
    <w:rsid w:val="00A65ADF"/>
    <w:rsid w:val="00A666A3"/>
    <w:rsid w:val="00A713AF"/>
    <w:rsid w:val="00A7555B"/>
    <w:rsid w:val="00A904E6"/>
    <w:rsid w:val="00A9518B"/>
    <w:rsid w:val="00AA2CFF"/>
    <w:rsid w:val="00AA68C8"/>
    <w:rsid w:val="00AA7D6E"/>
    <w:rsid w:val="00AB3A43"/>
    <w:rsid w:val="00AB683C"/>
    <w:rsid w:val="00AC0729"/>
    <w:rsid w:val="00AC7D32"/>
    <w:rsid w:val="00AD457F"/>
    <w:rsid w:val="00AF2F70"/>
    <w:rsid w:val="00AF5A18"/>
    <w:rsid w:val="00AF66AC"/>
    <w:rsid w:val="00B04CA6"/>
    <w:rsid w:val="00B06F86"/>
    <w:rsid w:val="00B11FF3"/>
    <w:rsid w:val="00B1261B"/>
    <w:rsid w:val="00B14DBE"/>
    <w:rsid w:val="00B251D1"/>
    <w:rsid w:val="00B25C57"/>
    <w:rsid w:val="00B26A6B"/>
    <w:rsid w:val="00B32283"/>
    <w:rsid w:val="00B42C1F"/>
    <w:rsid w:val="00B431EF"/>
    <w:rsid w:val="00B46C0C"/>
    <w:rsid w:val="00B54271"/>
    <w:rsid w:val="00B6182D"/>
    <w:rsid w:val="00B62081"/>
    <w:rsid w:val="00B648D6"/>
    <w:rsid w:val="00B66736"/>
    <w:rsid w:val="00B76540"/>
    <w:rsid w:val="00B76C2A"/>
    <w:rsid w:val="00B81E55"/>
    <w:rsid w:val="00B86DFD"/>
    <w:rsid w:val="00B93477"/>
    <w:rsid w:val="00B949EC"/>
    <w:rsid w:val="00B952EA"/>
    <w:rsid w:val="00BA732B"/>
    <w:rsid w:val="00BC4975"/>
    <w:rsid w:val="00BD1CD1"/>
    <w:rsid w:val="00BD4F48"/>
    <w:rsid w:val="00BE6CE0"/>
    <w:rsid w:val="00BF2433"/>
    <w:rsid w:val="00BF5B1B"/>
    <w:rsid w:val="00C03AA6"/>
    <w:rsid w:val="00C258C3"/>
    <w:rsid w:val="00C32FC3"/>
    <w:rsid w:val="00C359A3"/>
    <w:rsid w:val="00C36662"/>
    <w:rsid w:val="00C446B7"/>
    <w:rsid w:val="00C71BF7"/>
    <w:rsid w:val="00C81CB7"/>
    <w:rsid w:val="00C83109"/>
    <w:rsid w:val="00CB06DD"/>
    <w:rsid w:val="00CB5FA8"/>
    <w:rsid w:val="00CE1A04"/>
    <w:rsid w:val="00CF0541"/>
    <w:rsid w:val="00CF1B2C"/>
    <w:rsid w:val="00CF72B9"/>
    <w:rsid w:val="00D10EEF"/>
    <w:rsid w:val="00D1359E"/>
    <w:rsid w:val="00D144EF"/>
    <w:rsid w:val="00D14EB4"/>
    <w:rsid w:val="00D17676"/>
    <w:rsid w:val="00D17851"/>
    <w:rsid w:val="00D2149D"/>
    <w:rsid w:val="00D23606"/>
    <w:rsid w:val="00D26F76"/>
    <w:rsid w:val="00D41B47"/>
    <w:rsid w:val="00D427A5"/>
    <w:rsid w:val="00D42BCE"/>
    <w:rsid w:val="00D515B7"/>
    <w:rsid w:val="00D60B0D"/>
    <w:rsid w:val="00D60D2B"/>
    <w:rsid w:val="00D7021E"/>
    <w:rsid w:val="00D75477"/>
    <w:rsid w:val="00D85066"/>
    <w:rsid w:val="00D906A7"/>
    <w:rsid w:val="00DC04F1"/>
    <w:rsid w:val="00DC1269"/>
    <w:rsid w:val="00DC5A2D"/>
    <w:rsid w:val="00DD2FC6"/>
    <w:rsid w:val="00DD68A5"/>
    <w:rsid w:val="00DD6FA5"/>
    <w:rsid w:val="00DE0636"/>
    <w:rsid w:val="00DE2D88"/>
    <w:rsid w:val="00DF5745"/>
    <w:rsid w:val="00E000CA"/>
    <w:rsid w:val="00E01707"/>
    <w:rsid w:val="00E041CA"/>
    <w:rsid w:val="00E048D8"/>
    <w:rsid w:val="00E174BD"/>
    <w:rsid w:val="00E20E4D"/>
    <w:rsid w:val="00E24482"/>
    <w:rsid w:val="00E25F0B"/>
    <w:rsid w:val="00E30445"/>
    <w:rsid w:val="00E30CAE"/>
    <w:rsid w:val="00E35F09"/>
    <w:rsid w:val="00E364C8"/>
    <w:rsid w:val="00E54BDA"/>
    <w:rsid w:val="00E624A2"/>
    <w:rsid w:val="00E76078"/>
    <w:rsid w:val="00E84D44"/>
    <w:rsid w:val="00E911E1"/>
    <w:rsid w:val="00E96EC2"/>
    <w:rsid w:val="00EA0AA8"/>
    <w:rsid w:val="00EB09D9"/>
    <w:rsid w:val="00EB3192"/>
    <w:rsid w:val="00EB4DB2"/>
    <w:rsid w:val="00EC06D3"/>
    <w:rsid w:val="00EC1138"/>
    <w:rsid w:val="00ED1492"/>
    <w:rsid w:val="00ED4E92"/>
    <w:rsid w:val="00ED5697"/>
    <w:rsid w:val="00ED7EA5"/>
    <w:rsid w:val="00EE32BA"/>
    <w:rsid w:val="00EE35BD"/>
    <w:rsid w:val="00EE507F"/>
    <w:rsid w:val="00EE7D70"/>
    <w:rsid w:val="00EF282D"/>
    <w:rsid w:val="00EF7ED4"/>
    <w:rsid w:val="00F06015"/>
    <w:rsid w:val="00F10B59"/>
    <w:rsid w:val="00F10C6B"/>
    <w:rsid w:val="00F16B51"/>
    <w:rsid w:val="00F17732"/>
    <w:rsid w:val="00F25351"/>
    <w:rsid w:val="00F25D8E"/>
    <w:rsid w:val="00F2600F"/>
    <w:rsid w:val="00F31908"/>
    <w:rsid w:val="00F3477D"/>
    <w:rsid w:val="00F37D4C"/>
    <w:rsid w:val="00F534AB"/>
    <w:rsid w:val="00F5518B"/>
    <w:rsid w:val="00F5639C"/>
    <w:rsid w:val="00F6051D"/>
    <w:rsid w:val="00F67A8F"/>
    <w:rsid w:val="00F83742"/>
    <w:rsid w:val="00F85948"/>
    <w:rsid w:val="00FA6DD1"/>
    <w:rsid w:val="00FA7FFB"/>
    <w:rsid w:val="00FB0C49"/>
    <w:rsid w:val="00FB172E"/>
    <w:rsid w:val="00FB41A8"/>
    <w:rsid w:val="00FB668A"/>
    <w:rsid w:val="00FB67A5"/>
    <w:rsid w:val="00FB6D07"/>
    <w:rsid w:val="00FC2B26"/>
    <w:rsid w:val="00FC4045"/>
    <w:rsid w:val="00FC599F"/>
    <w:rsid w:val="00FD257B"/>
    <w:rsid w:val="00FD479A"/>
    <w:rsid w:val="00FD7239"/>
    <w:rsid w:val="00FE065F"/>
    <w:rsid w:val="00FE3C0B"/>
    <w:rsid w:val="00FF5520"/>
    <w:rsid w:val="18333249"/>
    <w:rsid w:val="36CB0B73"/>
    <w:rsid w:val="46C061A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nhideWhenUsed="0" w:uiPriority="99" w:semiHidden="0" w:name="HTML Preformatted"/>
    <w:lsdException w:uiPriority="0" w:name="HTML Sample"/>
    <w:lsdException w:unhideWhenUsed="0" w:uiPriority="99" w:semiHidden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sz w:val="24"/>
    </w:rPr>
  </w:style>
  <w:style w:type="paragraph" w:styleId="3">
    <w:name w:val="Balloon Text"/>
    <w:basedOn w:val="1"/>
    <w:link w:val="14"/>
    <w:uiPriority w:val="0"/>
    <w:rPr>
      <w:sz w:val="18"/>
      <w:szCs w:val="18"/>
    </w:rPr>
  </w:style>
  <w:style w:type="paragraph" w:styleId="4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5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eastAsia="黑体" w:cs="Courier New"/>
      <w:kern w:val="0"/>
      <w:sz w:val="20"/>
      <w:szCs w:val="20"/>
    </w:rPr>
  </w:style>
  <w:style w:type="paragraph" w:styleId="7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character" w:styleId="9">
    <w:name w:val="HTML Typewriter"/>
    <w:basedOn w:val="8"/>
    <w:uiPriority w:val="99"/>
    <w:rPr>
      <w:rFonts w:hint="default" w:ascii="Courier New" w:hAnsi="Courier New" w:eastAsia="黑体" w:cs="Courier New"/>
      <w:sz w:val="20"/>
      <w:szCs w:val="20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8"/>
    <w:link w:val="5"/>
    <w:uiPriority w:val="0"/>
    <w:rPr>
      <w:kern w:val="2"/>
      <w:sz w:val="18"/>
      <w:szCs w:val="18"/>
    </w:rPr>
  </w:style>
  <w:style w:type="character" w:customStyle="1" w:styleId="13">
    <w:name w:val="页脚 Char"/>
    <w:basedOn w:val="8"/>
    <w:link w:val="4"/>
    <w:uiPriority w:val="0"/>
    <w:rPr>
      <w:kern w:val="2"/>
      <w:sz w:val="18"/>
      <w:szCs w:val="18"/>
    </w:rPr>
  </w:style>
  <w:style w:type="character" w:customStyle="1" w:styleId="14">
    <w:name w:val="批注框文本 Char"/>
    <w:basedOn w:val="8"/>
    <w:link w:val="3"/>
    <w:uiPriority w:val="0"/>
    <w:rPr>
      <w:kern w:val="2"/>
      <w:sz w:val="18"/>
      <w:szCs w:val="18"/>
    </w:rPr>
  </w:style>
  <w:style w:type="character" w:customStyle="1" w:styleId="15">
    <w:name w:val="HTML 预设格式 Char"/>
    <w:basedOn w:val="8"/>
    <w:link w:val="6"/>
    <w:locked/>
    <w:uiPriority w:val="99"/>
    <w:rPr>
      <w:rFonts w:ascii="Courier New" w:hAnsi="Courier New" w:eastAsia="黑体" w:cs="Courier New"/>
    </w:rPr>
  </w:style>
  <w:style w:type="character" w:customStyle="1" w:styleId="16">
    <w:name w:val="标题 Char"/>
    <w:basedOn w:val="8"/>
    <w:link w:val="7"/>
    <w:uiPriority w:val="0"/>
    <w:rPr>
      <w:rFonts w:ascii="Cambria" w:hAnsi="Cambria" w:cs="黑体"/>
      <w:b/>
      <w:bCs/>
      <w:kern w:val="2"/>
      <w:sz w:val="32"/>
      <w:szCs w:val="32"/>
    </w:rPr>
  </w:style>
  <w:style w:type="paragraph" w:styleId="17">
    <w:name w:val="List Paragraph"/>
    <w:basedOn w:val="1"/>
    <w:unhideWhenUsed/>
    <w:uiPriority w:val="99"/>
    <w:pPr>
      <w:ind w:firstLine="420" w:firstLineChars="200"/>
    </w:pPr>
  </w:style>
  <w:style w:type="paragraph" w:customStyle="1" w:styleId="18">
    <w:name w:val="Normal_0"/>
    <w:qFormat/>
    <w:uiPriority w:val="0"/>
    <w:pPr>
      <w:spacing w:before="120" w:after="240"/>
      <w:jc w:val="both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DIGITALCHINA</Company>
  <Pages>13</Pages>
  <Words>772</Words>
  <Characters>4405</Characters>
  <Lines>36</Lines>
  <Paragraphs>10</Paragraphs>
  <TotalTime>643</TotalTime>
  <ScaleCrop>false</ScaleCrop>
  <LinksUpToDate>false</LinksUpToDate>
  <CharactersWithSpaces>5167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2016-12-25T14:07:00Z</dcterms:created>
  <dc:creator>DIGITALCHINA</dc:creator>
  <cp:lastModifiedBy>只想给你所有浪漫情节</cp:lastModifiedBy>
  <cp:lastPrinted>2009-12-16T06:22:00Z</cp:lastPrinted>
  <dcterms:modified xsi:type="dcterms:W3CDTF">2022-05-12T01:12:10Z</dcterms:modified>
  <dc:title>有关中职汽车项目比赛项目所需要提供的文件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