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00" w:beforeAutospacing="1" w:after="100" w:afterAutospacing="1"/>
        <w:ind w:left="220"/>
        <w:jc w:val="center"/>
        <w:rPr>
          <w:color w:val="auto"/>
          <w:sz w:val="32"/>
          <w:szCs w:val="32"/>
        </w:rPr>
      </w:pPr>
      <w:bookmarkStart w:id="125" w:name="_GoBack"/>
      <w:bookmarkEnd w:id="125"/>
      <w:r>
        <w:rPr>
          <w:color w:val="auto"/>
          <w:sz w:val="32"/>
          <w:szCs w:val="32"/>
        </w:rPr>
        <w:t>2022 年</w:t>
      </w:r>
      <w:r>
        <w:rPr>
          <w:rFonts w:hint="eastAsia"/>
          <w:color w:val="auto"/>
          <w:sz w:val="32"/>
          <w:szCs w:val="32"/>
        </w:rPr>
        <w:t>内蒙古自治区职业院校教学能力比赛专业课程二组</w:t>
      </w:r>
    </w:p>
    <w:p>
      <w:pPr>
        <w:pStyle w:val="7"/>
        <w:spacing w:before="100" w:beforeAutospacing="1" w:after="100" w:afterAutospacing="1"/>
        <w:jc w:val="center"/>
        <w:rPr>
          <w:color w:val="auto"/>
        </w:rPr>
      </w:pPr>
    </w:p>
    <w:p>
      <w:pPr>
        <w:spacing w:before="100" w:beforeAutospacing="1" w:after="100" w:afterAutospacing="1"/>
        <w:ind w:right="531"/>
        <w:rPr>
          <w:rFonts w:hint="eastAsia"/>
          <w:b/>
          <w:color w:val="auto"/>
          <w:sz w:val="96"/>
          <w:szCs w:val="96"/>
        </w:rPr>
      </w:pPr>
    </w:p>
    <w:p>
      <w:pPr>
        <w:pStyle w:val="7"/>
        <w:spacing w:before="100" w:beforeAutospacing="1" w:after="100" w:afterAutospacing="1"/>
        <w:ind w:firstLine="422"/>
        <w:jc w:val="center"/>
        <w:rPr>
          <w:b/>
          <w:color w:val="auto"/>
          <w:sz w:val="20"/>
          <w:szCs w:val="21"/>
        </w:rPr>
      </w:pPr>
      <w:r>
        <w:rPr>
          <w:rFonts w:hint="eastAsia"/>
          <w:b/>
          <w:color w:val="auto"/>
          <w:sz w:val="72"/>
          <w:szCs w:val="72"/>
        </w:rPr>
        <w:t>中等职业学校化学工艺专业人才培养方案</w:t>
      </w:r>
    </w:p>
    <w:p>
      <w:pPr>
        <w:pStyle w:val="7"/>
        <w:spacing w:before="100" w:beforeAutospacing="1" w:after="100" w:afterAutospacing="1"/>
        <w:ind w:firstLine="422"/>
        <w:jc w:val="center"/>
        <w:rPr>
          <w:b/>
          <w:color w:val="auto"/>
        </w:rPr>
      </w:pPr>
    </w:p>
    <w:p>
      <w:pPr>
        <w:spacing w:before="100" w:beforeAutospacing="1" w:after="100" w:afterAutospacing="1"/>
        <w:rPr>
          <w:rFonts w:hint="eastAsia"/>
          <w:color w:val="auto"/>
          <w:sz w:val="24"/>
          <w:szCs w:val="24"/>
        </w:rPr>
      </w:pPr>
    </w:p>
    <w:p>
      <w:pPr>
        <w:spacing w:before="100" w:beforeAutospacing="1" w:after="100" w:afterAutospacing="1"/>
        <w:rPr>
          <w:color w:val="auto"/>
          <w:sz w:val="24"/>
          <w:szCs w:val="24"/>
        </w:rPr>
      </w:pPr>
    </w:p>
    <w:p>
      <w:pPr>
        <w:spacing w:before="100" w:beforeAutospacing="1" w:after="100" w:afterAutospacing="1"/>
        <w:ind w:left="1489" w:leftChars="709" w:firstLine="708" w:firstLineChars="295"/>
        <w:rPr>
          <w:color w:val="auto"/>
          <w:sz w:val="24"/>
          <w:szCs w:val="24"/>
        </w:rPr>
      </w:pPr>
    </w:p>
    <w:p>
      <w:pPr>
        <w:ind w:left="2551" w:leftChars="1215"/>
        <w:rPr>
          <w:color w:val="auto"/>
          <w:sz w:val="28"/>
          <w:szCs w:val="28"/>
        </w:rPr>
      </w:pPr>
      <w:r>
        <w:rPr>
          <w:color w:val="auto"/>
          <w:sz w:val="28"/>
          <w:szCs w:val="28"/>
        </w:rPr>
        <w:t>参赛组别：中职专业技能课程二组</w:t>
      </w:r>
    </w:p>
    <w:p>
      <w:pPr>
        <w:ind w:left="2551" w:leftChars="1215"/>
        <w:rPr>
          <w:color w:val="auto"/>
          <w:sz w:val="28"/>
          <w:szCs w:val="28"/>
        </w:rPr>
      </w:pPr>
      <w:r>
        <w:rPr>
          <w:color w:val="auto"/>
          <w:sz w:val="28"/>
          <w:szCs w:val="28"/>
        </w:rPr>
        <w:t>专业大类：化工类</w:t>
      </w:r>
    </w:p>
    <w:p>
      <w:pPr>
        <w:ind w:left="2551" w:leftChars="1215"/>
        <w:rPr>
          <w:rFonts w:hint="default" w:eastAsiaTheme="minorEastAsia"/>
          <w:color w:val="auto"/>
          <w:sz w:val="28"/>
          <w:szCs w:val="28"/>
          <w:lang w:val="en-US" w:eastAsia="zh-CN"/>
        </w:rPr>
      </w:pPr>
      <w:r>
        <w:rPr>
          <w:color w:val="auto"/>
          <w:sz w:val="28"/>
          <w:szCs w:val="28"/>
        </w:rPr>
        <w:t>专业名称：</w:t>
      </w:r>
      <w:r>
        <w:rPr>
          <w:rFonts w:hint="eastAsia"/>
          <w:color w:val="auto"/>
          <w:sz w:val="28"/>
          <w:szCs w:val="28"/>
          <w:lang w:val="en-US" w:eastAsia="zh-CN"/>
        </w:rPr>
        <w:t>化学工艺专业</w:t>
      </w:r>
    </w:p>
    <w:p>
      <w:pPr>
        <w:ind w:left="2551" w:leftChars="1215" w:right="531"/>
        <w:rPr>
          <w:color w:val="auto"/>
          <w:sz w:val="28"/>
          <w:szCs w:val="28"/>
        </w:rPr>
      </w:pPr>
      <w:r>
        <w:rPr>
          <w:color w:val="auto"/>
          <w:sz w:val="28"/>
          <w:szCs w:val="28"/>
        </w:rPr>
        <w:t>课程名称：化</w:t>
      </w:r>
      <w:r>
        <w:rPr>
          <w:rFonts w:hint="eastAsia"/>
          <w:color w:val="auto"/>
          <w:sz w:val="28"/>
          <w:szCs w:val="28"/>
        </w:rPr>
        <w:t>工分析</w:t>
      </w:r>
      <w:r>
        <w:rPr>
          <w:color w:val="auto"/>
          <w:sz w:val="28"/>
          <w:szCs w:val="28"/>
        </w:rPr>
        <w:t>实训</w:t>
      </w:r>
      <w:r>
        <w:rPr>
          <w:rFonts w:hint="eastAsia"/>
          <w:color w:val="auto"/>
          <w:sz w:val="28"/>
          <w:szCs w:val="28"/>
        </w:rPr>
        <w:t>课程</w:t>
      </w:r>
    </w:p>
    <w:p>
      <w:pPr>
        <w:ind w:left="2551" w:leftChars="1215" w:right="531"/>
        <w:rPr>
          <w:color w:val="auto"/>
          <w:sz w:val="28"/>
          <w:szCs w:val="28"/>
        </w:rPr>
      </w:pPr>
      <w:r>
        <w:rPr>
          <w:color w:val="auto"/>
          <w:sz w:val="28"/>
          <w:szCs w:val="28"/>
        </w:rPr>
        <w:t>作品名称：分光光度法测定黄河水的溶氧量</w:t>
      </w:r>
    </w:p>
    <w:p>
      <w:pPr>
        <w:rPr>
          <w:rFonts w:ascii="宋体" w:hAnsi="宋体" w:cs="宋体"/>
          <w:b/>
          <w:color w:val="auto"/>
          <w:sz w:val="28"/>
          <w:szCs w:val="28"/>
        </w:rPr>
      </w:pPr>
    </w:p>
    <w:p>
      <w:pPr>
        <w:rPr>
          <w:rFonts w:ascii="宋体" w:hAnsi="宋体" w:cs="宋体"/>
          <w:b/>
          <w:color w:val="auto"/>
          <w:sz w:val="28"/>
          <w:szCs w:val="28"/>
        </w:rPr>
        <w:sectPr>
          <w:footerReference r:id="rId3" w:type="default"/>
          <w:pgSz w:w="11906" w:h="16838"/>
          <w:pgMar w:top="1440" w:right="1080" w:bottom="1440" w:left="1080" w:header="851" w:footer="992" w:gutter="0"/>
          <w:pgNumType w:start="1"/>
          <w:cols w:space="425" w:num="1"/>
          <w:docGrid w:type="lines" w:linePitch="312" w:charSpace="0"/>
        </w:sectPr>
      </w:pPr>
    </w:p>
    <w:p>
      <w:pPr>
        <w:pStyle w:val="16"/>
        <w:tabs>
          <w:tab w:val="left" w:pos="6641"/>
        </w:tabs>
        <w:ind w:firstLine="3935" w:firstLineChars="1400"/>
        <w:rPr>
          <w:rFonts w:ascii="宋体" w:hAnsi="宋体" w:cs="宋体"/>
          <w:b/>
          <w:color w:val="auto"/>
          <w:sz w:val="28"/>
          <w:szCs w:val="28"/>
        </w:rPr>
      </w:pPr>
      <w:r>
        <w:rPr>
          <w:rFonts w:hint="eastAsia" w:ascii="宋体" w:hAnsi="宋体" w:cs="宋体"/>
          <w:b/>
          <w:color w:val="auto"/>
          <w:sz w:val="28"/>
          <w:szCs w:val="28"/>
        </w:rPr>
        <w:t>目录</w:t>
      </w:r>
      <w:r>
        <w:rPr>
          <w:rFonts w:ascii="宋体" w:hAnsi="宋体" w:cs="宋体"/>
          <w:b/>
          <w:color w:val="auto"/>
          <w:sz w:val="28"/>
          <w:szCs w:val="28"/>
        </w:rPr>
        <w:tab/>
      </w:r>
    </w:p>
    <w:p>
      <w:pPr>
        <w:pStyle w:val="16"/>
        <w:tabs>
          <w:tab w:val="right" w:leader="dot" w:pos="8306"/>
        </w:tabs>
        <w:rPr>
          <w:color w:val="auto"/>
        </w:rPr>
      </w:pPr>
      <w:r>
        <w:rPr>
          <w:rFonts w:hint="eastAsia" w:ascii="宋体" w:hAnsi="宋体" w:cs="宋体"/>
          <w:bCs/>
          <w:color w:val="auto"/>
          <w:sz w:val="24"/>
        </w:rPr>
        <w:fldChar w:fldCharType="begin"/>
      </w:r>
      <w:r>
        <w:rPr>
          <w:rFonts w:hint="eastAsia" w:ascii="宋体" w:hAnsi="宋体" w:cs="宋体"/>
          <w:bCs/>
          <w:color w:val="auto"/>
          <w:sz w:val="24"/>
        </w:rPr>
        <w:instrText xml:space="preserve">TOC \o "1-3" \h \u </w:instrText>
      </w:r>
      <w:r>
        <w:rPr>
          <w:rFonts w:hint="eastAsia" w:ascii="宋体" w:hAnsi="宋体" w:cs="宋体"/>
          <w:bCs/>
          <w:color w:val="auto"/>
          <w:sz w:val="24"/>
        </w:rPr>
        <w:fldChar w:fldCharType="separate"/>
      </w:r>
      <w:r>
        <w:rPr>
          <w:color w:val="auto"/>
        </w:rPr>
        <w:fldChar w:fldCharType="begin"/>
      </w:r>
      <w:r>
        <w:rPr>
          <w:color w:val="auto"/>
        </w:rPr>
        <w:instrText xml:space="preserve"> HYPERLINK \l "_Toc15511" </w:instrText>
      </w:r>
      <w:r>
        <w:rPr>
          <w:color w:val="auto"/>
        </w:rPr>
        <w:fldChar w:fldCharType="separate"/>
      </w:r>
      <w:r>
        <w:rPr>
          <w:rFonts w:hint="eastAsia" w:ascii="黑体" w:hAnsi="宋体" w:eastAsia="黑体"/>
          <w:bCs/>
          <w:color w:val="auto"/>
          <w:szCs w:val="28"/>
        </w:rPr>
        <w:t>一．【专业名称及专业代码】</w:t>
      </w:r>
      <w:r>
        <w:rPr>
          <w:color w:val="auto"/>
        </w:rPr>
        <w:tab/>
      </w:r>
      <w:r>
        <w:rPr>
          <w:rFonts w:hint="eastAsia"/>
          <w:color w:val="auto"/>
        </w:rPr>
        <w:t>1</w:t>
      </w:r>
      <w:r>
        <w:rPr>
          <w:rFonts w:hint="eastAsia"/>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"_Toc26578" </w:instrText>
      </w:r>
      <w:r>
        <w:rPr>
          <w:color w:val="auto"/>
        </w:rPr>
        <w:fldChar w:fldCharType="separate"/>
      </w:r>
      <w:r>
        <w:rPr>
          <w:rFonts w:hint="eastAsia" w:ascii="黑体" w:hAnsi="宋体" w:eastAsia="黑体"/>
          <w:bCs/>
          <w:color w:val="auto"/>
          <w:szCs w:val="28"/>
        </w:rPr>
        <w:t>二．【入学要求】</w:t>
      </w:r>
      <w:r>
        <w:rPr>
          <w:color w:val="auto"/>
        </w:rPr>
        <w:tab/>
      </w:r>
      <w:r>
        <w:rPr>
          <w:rFonts w:hint="eastAsia"/>
          <w:color w:val="auto"/>
        </w:rPr>
        <w:t>1</w:t>
      </w:r>
      <w:r>
        <w:rPr>
          <w:rFonts w:hint="eastAsia"/>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"_Toc16205" </w:instrText>
      </w:r>
      <w:r>
        <w:rPr>
          <w:color w:val="auto"/>
        </w:rPr>
        <w:fldChar w:fldCharType="separate"/>
      </w:r>
      <w:r>
        <w:rPr>
          <w:rFonts w:hint="eastAsia" w:ascii="黑体" w:hAnsi="宋体" w:eastAsia="黑体"/>
          <w:bCs/>
          <w:color w:val="auto"/>
          <w:szCs w:val="28"/>
        </w:rPr>
        <w:t>三．【修业年限】</w:t>
      </w:r>
      <w:r>
        <w:rPr>
          <w:color w:val="auto"/>
        </w:rPr>
        <w:tab/>
      </w:r>
      <w:r>
        <w:rPr>
          <w:rFonts w:hint="eastAsia"/>
          <w:color w:val="auto"/>
        </w:rPr>
        <w:t>1</w:t>
      </w:r>
      <w:r>
        <w:rPr>
          <w:rFonts w:hint="eastAsia"/>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"_Toc21894" </w:instrText>
      </w:r>
      <w:r>
        <w:rPr>
          <w:color w:val="auto"/>
        </w:rPr>
        <w:fldChar w:fldCharType="separate"/>
      </w:r>
      <w:r>
        <w:rPr>
          <w:rFonts w:hint="eastAsia" w:ascii="黑体" w:hAnsi="宋体" w:eastAsia="黑体"/>
          <w:bCs/>
          <w:color w:val="auto"/>
          <w:szCs w:val="28"/>
        </w:rPr>
        <w:t>四．【职业面向】</w:t>
      </w:r>
      <w:r>
        <w:rPr>
          <w:color w:val="auto"/>
        </w:rPr>
        <w:tab/>
      </w:r>
      <w:r>
        <w:rPr>
          <w:rFonts w:hint="eastAsia"/>
          <w:color w:val="auto"/>
        </w:rPr>
        <w:t>1</w:t>
      </w:r>
      <w:r>
        <w:rPr>
          <w:rFonts w:hint="eastAsia"/>
          <w:color w:val="auto"/>
        </w:rPr>
        <w:fldChar w:fldCharType="end"/>
      </w:r>
    </w:p>
    <w:p>
      <w:pPr>
        <w:pStyle w:val="16"/>
        <w:tabs>
          <w:tab w:val="right" w:leader="dot" w:pos="8306"/>
        </w:tabs>
        <w:rPr>
          <w:rFonts w:ascii="宋体" w:hAnsi="宋体" w:cs="宋体"/>
          <w:bCs/>
          <w:color w:val="auto"/>
        </w:rPr>
      </w:pPr>
      <w:r>
        <w:rPr>
          <w:color w:val="auto"/>
        </w:rPr>
        <w:fldChar w:fldCharType="begin"/>
      </w:r>
      <w:r>
        <w:rPr>
          <w:color w:val="auto"/>
        </w:rPr>
        <w:instrText xml:space="preserve"> HYPERLINK \l "_Toc1099" </w:instrText>
      </w:r>
      <w:r>
        <w:rPr>
          <w:color w:val="auto"/>
        </w:rPr>
        <w:fldChar w:fldCharType="separate"/>
      </w:r>
      <w:r>
        <w:rPr>
          <w:rFonts w:hint="eastAsia" w:ascii="黑体" w:hAnsi="宋体" w:eastAsia="黑体"/>
          <w:bCs/>
          <w:color w:val="auto"/>
          <w:szCs w:val="28"/>
        </w:rPr>
        <w:t>五．【培养目标与培养规格】</w:t>
      </w:r>
      <w:r>
        <w:rPr>
          <w:color w:val="auto"/>
        </w:rPr>
        <w:tab/>
      </w:r>
      <w:r>
        <w:rPr>
          <w:color w:val="auto"/>
        </w:rPr>
        <w:fldChar w:fldCharType="end"/>
      </w:r>
      <w:r>
        <w:rPr>
          <w:rFonts w:hint="eastAsia" w:ascii="宋体" w:hAnsi="宋体" w:cs="宋体"/>
          <w:bCs/>
          <w:color w:val="auto"/>
        </w:rPr>
        <w:t>2</w:t>
      </w:r>
    </w:p>
    <w:p>
      <w:pPr>
        <w:ind w:firstLine="435"/>
        <w:rPr>
          <w:color w:val="auto"/>
        </w:rPr>
      </w:pPr>
      <w:r>
        <w:rPr>
          <w:rFonts w:hint="eastAsia"/>
          <w:color w:val="auto"/>
        </w:rPr>
        <w:t>（一）培养目标</w:t>
      </w:r>
      <w:r>
        <w:rPr>
          <w:color w:val="auto"/>
        </w:rPr>
        <w:t>……………………………………………………………………….…………………………………………</w:t>
      </w:r>
      <w:r>
        <w:rPr>
          <w:rFonts w:hint="eastAsia"/>
          <w:color w:val="auto"/>
        </w:rPr>
        <w:t>2</w:t>
      </w:r>
    </w:p>
    <w:p>
      <w:pPr>
        <w:ind w:firstLine="435"/>
        <w:rPr>
          <w:color w:val="auto"/>
        </w:rPr>
      </w:pPr>
      <w:r>
        <w:rPr>
          <w:rFonts w:hint="eastAsia"/>
          <w:color w:val="auto"/>
        </w:rPr>
        <w:t>（二）培养规格</w:t>
      </w:r>
      <w:r>
        <w:rPr>
          <w:color w:val="auto"/>
        </w:rPr>
        <w:t>……………………………………………………………………………………………</w:t>
      </w:r>
      <w:r>
        <w:rPr>
          <w:rFonts w:hint="eastAsia"/>
          <w:color w:val="auto"/>
        </w:rPr>
        <w:t xml:space="preserve"> </w:t>
      </w:r>
      <w:r>
        <w:rPr>
          <w:color w:val="auto"/>
        </w:rPr>
        <w:t>…</w:t>
      </w:r>
      <w:r>
        <w:rPr>
          <w:rFonts w:hint="eastAsia"/>
          <w:color w:val="auto"/>
        </w:rPr>
        <w:t xml:space="preserve"> </w:t>
      </w:r>
      <w:r>
        <w:rPr>
          <w:color w:val="auto"/>
        </w:rPr>
        <w:t>………….………</w:t>
      </w:r>
      <w:r>
        <w:rPr>
          <w:rFonts w:hint="eastAsia"/>
          <w:color w:val="auto"/>
        </w:rPr>
        <w:t>2</w:t>
      </w:r>
    </w:p>
    <w:p>
      <w:pPr>
        <w:ind w:firstLine="840" w:firstLineChars="400"/>
        <w:rPr>
          <w:color w:val="auto"/>
        </w:rPr>
      </w:pPr>
      <w:r>
        <w:rPr>
          <w:rFonts w:hint="eastAsia"/>
          <w:color w:val="auto"/>
        </w:rPr>
        <w:t>1</w:t>
      </w:r>
      <w:r>
        <w:rPr>
          <w:color w:val="auto"/>
        </w:rPr>
        <w:t>.</w:t>
      </w:r>
      <w:r>
        <w:rPr>
          <w:rFonts w:hint="eastAsia"/>
          <w:color w:val="auto"/>
        </w:rPr>
        <w:t>素质目标</w:t>
      </w:r>
      <w:r>
        <w:rPr>
          <w:color w:val="auto"/>
        </w:rPr>
        <w:t>………………………………………………………………………….…………………………….…………</w:t>
      </w:r>
      <w:r>
        <w:rPr>
          <w:rFonts w:hint="eastAsia"/>
          <w:color w:val="auto"/>
        </w:rPr>
        <w:t>2</w:t>
      </w:r>
    </w:p>
    <w:p>
      <w:pPr>
        <w:ind w:firstLine="840" w:firstLineChars="400"/>
        <w:rPr>
          <w:color w:val="auto"/>
        </w:rPr>
      </w:pPr>
      <w:r>
        <w:rPr>
          <w:rFonts w:hint="eastAsia"/>
          <w:color w:val="auto"/>
        </w:rPr>
        <w:t>2</w:t>
      </w:r>
      <w:r>
        <w:rPr>
          <w:color w:val="auto"/>
        </w:rPr>
        <w:t>.</w:t>
      </w:r>
      <w:r>
        <w:rPr>
          <w:rFonts w:hint="eastAsia"/>
          <w:color w:val="auto"/>
        </w:rPr>
        <w:t>知识目标</w:t>
      </w:r>
      <w:r>
        <w:rPr>
          <w:color w:val="auto"/>
        </w:rPr>
        <w:t>………………………………………………………………………………………………………………….</w:t>
      </w:r>
      <w:r>
        <w:rPr>
          <w:rFonts w:hint="eastAsia"/>
          <w:color w:val="auto"/>
        </w:rPr>
        <w:t>3</w:t>
      </w:r>
    </w:p>
    <w:p>
      <w:pPr>
        <w:ind w:firstLine="840" w:firstLineChars="400"/>
        <w:rPr>
          <w:color w:val="auto"/>
        </w:rPr>
      </w:pPr>
      <w:r>
        <w:rPr>
          <w:rFonts w:hint="eastAsia"/>
          <w:color w:val="auto"/>
        </w:rPr>
        <w:t>3</w:t>
      </w:r>
      <w:r>
        <w:rPr>
          <w:color w:val="auto"/>
        </w:rPr>
        <w:t>.</w:t>
      </w:r>
      <w:r>
        <w:rPr>
          <w:rFonts w:hint="eastAsia"/>
          <w:color w:val="auto"/>
        </w:rPr>
        <w:t>能力目标</w:t>
      </w:r>
      <w:r>
        <w:rPr>
          <w:color w:val="auto"/>
        </w:rPr>
        <w:t>………………………………………………………………………………………………………………….</w:t>
      </w:r>
      <w:r>
        <w:rPr>
          <w:rFonts w:hint="eastAsia"/>
          <w:color w:val="auto"/>
        </w:rPr>
        <w:t>3</w:t>
      </w:r>
    </w:p>
    <w:p>
      <w:pPr>
        <w:pStyle w:val="17"/>
        <w:tabs>
          <w:tab w:val="right" w:leader="dot" w:pos="8306"/>
        </w:tabs>
        <w:rPr>
          <w:color w:val="auto"/>
        </w:rPr>
      </w:pPr>
      <w:r>
        <w:rPr>
          <w:color w:val="auto"/>
        </w:rPr>
        <w:fldChar w:fldCharType="begin"/>
      </w:r>
      <w:r>
        <w:rPr>
          <w:color w:val="auto"/>
        </w:rPr>
        <w:instrText xml:space="preserve"> HYPERLINK \l "_Toc27281" </w:instrText>
      </w:r>
      <w:r>
        <w:rPr>
          <w:color w:val="auto"/>
        </w:rPr>
        <w:fldChar w:fldCharType="separate"/>
      </w:r>
      <w:r>
        <w:rPr>
          <w:rFonts w:hint="eastAsia" w:ascii="宋体" w:hAnsi="宋体"/>
          <w:color w:val="auto"/>
        </w:rPr>
        <w:t>（三）主要接续专业</w:t>
      </w:r>
      <w:r>
        <w:rPr>
          <w:color w:val="auto"/>
        </w:rPr>
        <w:tab/>
      </w:r>
      <w:r>
        <w:rPr>
          <w:color w:val="auto"/>
        </w:rPr>
        <w:fldChar w:fldCharType="begin"/>
      </w:r>
      <w:r>
        <w:rPr>
          <w:color w:val="auto"/>
        </w:rPr>
        <w:instrText xml:space="preserve"> PAGEREF _Toc27281 \h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"_Toc14628" </w:instrText>
      </w:r>
      <w:r>
        <w:rPr>
          <w:color w:val="auto"/>
        </w:rPr>
        <w:fldChar w:fldCharType="separate"/>
      </w:r>
      <w:r>
        <w:rPr>
          <w:rFonts w:hint="eastAsia" w:ascii="黑体" w:hAnsi="宋体" w:eastAsia="黑体"/>
          <w:bCs/>
          <w:color w:val="auto"/>
          <w:szCs w:val="28"/>
        </w:rPr>
        <w:t>六．【课程设置及要求】</w:t>
      </w:r>
      <w:r>
        <w:rPr>
          <w:color w:val="auto"/>
        </w:rPr>
        <w:tab/>
      </w:r>
      <w:r>
        <w:rPr>
          <w:color w:val="auto"/>
        </w:rPr>
        <w:fldChar w:fldCharType="begin"/>
      </w:r>
      <w:r>
        <w:rPr>
          <w:color w:val="auto"/>
        </w:rPr>
        <w:instrText xml:space="preserve"> PAGEREF _Toc14628 \h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"_Toc15427" </w:instrText>
      </w:r>
      <w:r>
        <w:rPr>
          <w:color w:val="auto"/>
        </w:rPr>
        <w:fldChar w:fldCharType="separate"/>
      </w:r>
      <w:r>
        <w:rPr>
          <w:rFonts w:hint="eastAsia" w:ascii="宋体" w:hAnsi="宋体"/>
          <w:color w:val="auto"/>
        </w:rPr>
        <w:t>本专业课程设置为公共基础课和专业（技能）课。</w:t>
      </w:r>
      <w:r>
        <w:rPr>
          <w:color w:val="auto"/>
        </w:rPr>
        <w:tab/>
      </w:r>
      <w:r>
        <w:rPr>
          <w:color w:val="auto"/>
        </w:rPr>
        <w:fldChar w:fldCharType="begin"/>
      </w:r>
      <w:r>
        <w:rPr>
          <w:color w:val="auto"/>
        </w:rPr>
        <w:instrText xml:space="preserve"> PAGEREF _Toc15427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"_Toc17357" </w:instrText>
      </w:r>
      <w:r>
        <w:rPr>
          <w:color w:val="auto"/>
        </w:rPr>
        <w:fldChar w:fldCharType="separate"/>
      </w:r>
      <w:r>
        <w:rPr>
          <w:rFonts w:hint="eastAsia" w:ascii="宋体" w:hAnsi="宋体"/>
          <w:color w:val="auto"/>
        </w:rPr>
        <w:t>（一）公共基础课</w:t>
      </w:r>
      <w:r>
        <w:rPr>
          <w:color w:val="auto"/>
        </w:rPr>
        <w:tab/>
      </w:r>
      <w:r>
        <w:rPr>
          <w:color w:val="auto"/>
        </w:rPr>
        <w:fldChar w:fldCharType="begin"/>
      </w:r>
      <w:r>
        <w:rPr>
          <w:color w:val="auto"/>
        </w:rPr>
        <w:instrText xml:space="preserve"> PAGEREF _Toc17357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"_Toc8749" </w:instrText>
      </w:r>
      <w:r>
        <w:rPr>
          <w:color w:val="auto"/>
        </w:rPr>
        <w:fldChar w:fldCharType="separate"/>
      </w:r>
      <w:r>
        <w:rPr>
          <w:rFonts w:hint="eastAsia" w:ascii="宋体" w:hAnsi="宋体"/>
          <w:bCs/>
          <w:color w:val="auto"/>
        </w:rPr>
        <w:t>（二）专业技能课</w:t>
      </w:r>
      <w:r>
        <w:rPr>
          <w:color w:val="auto"/>
        </w:rPr>
        <w:tab/>
      </w:r>
      <w:r>
        <w:rPr>
          <w:rFonts w:hint="eastAsia"/>
          <w:color w:val="auto"/>
        </w:rPr>
        <w:t>5</w:t>
      </w:r>
      <w:r>
        <w:rPr>
          <w:rFonts w:hint="eastAsia"/>
          <w:color w:val="auto"/>
        </w:rPr>
        <w:fldChar w:fldCharType="end"/>
      </w:r>
    </w:p>
    <w:p>
      <w:pPr>
        <w:pStyle w:val="9"/>
        <w:tabs>
          <w:tab w:val="right" w:leader="dot" w:pos="8306"/>
        </w:tabs>
        <w:rPr>
          <w:color w:val="auto"/>
        </w:rPr>
      </w:pPr>
      <w:r>
        <w:rPr>
          <w:color w:val="auto"/>
        </w:rPr>
        <w:fldChar w:fldCharType="begin"/>
      </w:r>
      <w:r>
        <w:rPr>
          <w:color w:val="auto"/>
        </w:rPr>
        <w:instrText xml:space="preserve"> HYPERLINK \l "_Toc28932" </w:instrText>
      </w:r>
      <w:r>
        <w:rPr>
          <w:color w:val="auto"/>
        </w:rPr>
        <w:fldChar w:fldCharType="separate"/>
      </w:r>
      <w:r>
        <w:rPr>
          <w:rFonts w:hint="eastAsia" w:ascii="宋体" w:hAnsi="宋体"/>
          <w:bCs/>
          <w:color w:val="auto"/>
        </w:rPr>
        <w:t>1.核心专业课</w:t>
      </w:r>
      <w:r>
        <w:rPr>
          <w:color w:val="auto"/>
        </w:rPr>
        <w:tab/>
      </w:r>
      <w:r>
        <w:rPr>
          <w:color w:val="auto"/>
        </w:rPr>
        <w:fldChar w:fldCharType="begin"/>
      </w:r>
      <w:r>
        <w:rPr>
          <w:color w:val="auto"/>
        </w:rPr>
        <w:instrText xml:space="preserve"> PAGEREF _Toc28932 \h </w:instrText>
      </w:r>
      <w:r>
        <w:rPr>
          <w:color w:val="auto"/>
        </w:rPr>
        <w:fldChar w:fldCharType="separate"/>
      </w:r>
      <w:r>
        <w:rPr>
          <w:color w:val="auto"/>
        </w:rPr>
        <w:t>5</w:t>
      </w:r>
      <w:r>
        <w:rPr>
          <w:color w:val="auto"/>
        </w:rPr>
        <w:fldChar w:fldCharType="end"/>
      </w:r>
      <w:r>
        <w:rPr>
          <w:color w:val="auto"/>
        </w:rPr>
        <w:fldChar w:fldCharType="end"/>
      </w:r>
    </w:p>
    <w:p>
      <w:pPr>
        <w:pStyle w:val="9"/>
        <w:tabs>
          <w:tab w:val="right" w:leader="dot" w:pos="8306"/>
        </w:tabs>
        <w:rPr>
          <w:color w:val="auto"/>
        </w:rPr>
      </w:pPr>
      <w:r>
        <w:rPr>
          <w:color w:val="auto"/>
        </w:rPr>
        <w:fldChar w:fldCharType="begin"/>
      </w:r>
      <w:r>
        <w:rPr>
          <w:color w:val="auto"/>
        </w:rPr>
        <w:instrText xml:space="preserve"> HYPERLINK \l "_Toc11208" </w:instrText>
      </w:r>
      <w:r>
        <w:rPr>
          <w:color w:val="auto"/>
        </w:rPr>
        <w:fldChar w:fldCharType="separate"/>
      </w:r>
      <w:r>
        <w:rPr>
          <w:rFonts w:hint="eastAsia" w:ascii="宋体" w:hAnsi="宋体"/>
          <w:bCs/>
          <w:color w:val="auto"/>
        </w:rPr>
        <w:t>2.专业（技能）方向课</w:t>
      </w:r>
      <w:r>
        <w:rPr>
          <w:color w:val="auto"/>
        </w:rPr>
        <w:tab/>
      </w:r>
      <w:r>
        <w:rPr>
          <w:rFonts w:hint="eastAsia"/>
          <w:color w:val="auto"/>
        </w:rPr>
        <w:t>7</w:t>
      </w:r>
      <w:r>
        <w:rPr>
          <w:rFonts w:hint="eastAsia"/>
          <w:color w:val="auto"/>
        </w:rPr>
        <w:fldChar w:fldCharType="end"/>
      </w:r>
    </w:p>
    <w:p>
      <w:pPr>
        <w:pStyle w:val="9"/>
        <w:tabs>
          <w:tab w:val="right" w:leader="dot" w:pos="8306"/>
        </w:tabs>
        <w:rPr>
          <w:color w:val="auto"/>
        </w:rPr>
      </w:pPr>
      <w:r>
        <w:rPr>
          <w:color w:val="auto"/>
        </w:rPr>
        <w:fldChar w:fldCharType="begin"/>
      </w:r>
      <w:r>
        <w:rPr>
          <w:color w:val="auto"/>
        </w:rPr>
        <w:instrText xml:space="preserve"> HYPERLINK \l "_Toc5648" </w:instrText>
      </w:r>
      <w:r>
        <w:rPr>
          <w:color w:val="auto"/>
        </w:rPr>
        <w:fldChar w:fldCharType="separate"/>
      </w:r>
      <w:r>
        <w:rPr>
          <w:rFonts w:hint="eastAsia" w:ascii="宋体" w:hAnsi="宋体"/>
          <w:bCs/>
          <w:color w:val="auto"/>
        </w:rPr>
        <w:t>3.专业选修课</w:t>
      </w:r>
      <w:r>
        <w:rPr>
          <w:color w:val="auto"/>
        </w:rPr>
        <w:tab/>
      </w:r>
      <w:r>
        <w:rPr>
          <w:color w:val="auto"/>
        </w:rPr>
        <w:fldChar w:fldCharType="begin"/>
      </w:r>
      <w:r>
        <w:rPr>
          <w:color w:val="auto"/>
        </w:rPr>
        <w:instrText xml:space="preserve"> PAGEREF _Toc5648 \h </w:instrText>
      </w:r>
      <w:r>
        <w:rPr>
          <w:color w:val="auto"/>
        </w:rPr>
        <w:fldChar w:fldCharType="separate"/>
      </w:r>
      <w:r>
        <w:rPr>
          <w:color w:val="auto"/>
        </w:rPr>
        <w:t>10</w:t>
      </w:r>
      <w:r>
        <w:rPr>
          <w:color w:val="auto"/>
        </w:rPr>
        <w:fldChar w:fldCharType="end"/>
      </w:r>
      <w:r>
        <w:rPr>
          <w:color w:val="auto"/>
        </w:rPr>
        <w:fldChar w:fldCharType="end"/>
      </w:r>
    </w:p>
    <w:p>
      <w:pPr>
        <w:pStyle w:val="9"/>
        <w:tabs>
          <w:tab w:val="right" w:leader="dot" w:pos="8306"/>
        </w:tabs>
        <w:rPr>
          <w:color w:val="auto"/>
        </w:rPr>
      </w:pPr>
      <w:r>
        <w:rPr>
          <w:color w:val="auto"/>
        </w:rPr>
        <w:fldChar w:fldCharType="begin"/>
      </w:r>
      <w:r>
        <w:rPr>
          <w:color w:val="auto"/>
        </w:rPr>
        <w:instrText xml:space="preserve"> HYPERLINK \l "_Toc27885" </w:instrText>
      </w:r>
      <w:r>
        <w:rPr>
          <w:color w:val="auto"/>
        </w:rPr>
        <w:fldChar w:fldCharType="separate"/>
      </w:r>
      <w:r>
        <w:rPr>
          <w:rFonts w:hint="eastAsia" w:ascii="宋体" w:hAnsi="宋体"/>
          <w:bCs/>
          <w:color w:val="auto"/>
        </w:rPr>
        <w:t>4.综合实训</w:t>
      </w:r>
      <w:r>
        <w:rPr>
          <w:color w:val="auto"/>
        </w:rPr>
        <w:tab/>
      </w:r>
      <w:r>
        <w:rPr>
          <w:rFonts w:hint="eastAsia"/>
          <w:color w:val="auto"/>
        </w:rPr>
        <w:t>1</w:t>
      </w:r>
      <w:r>
        <w:rPr>
          <w:rFonts w:hint="eastAsia"/>
          <w:color w:val="auto"/>
        </w:rPr>
        <w:fldChar w:fldCharType="end"/>
      </w:r>
      <w:r>
        <w:rPr>
          <w:rFonts w:hint="eastAsia"/>
          <w:color w:val="auto"/>
        </w:rPr>
        <w:t>0</w:t>
      </w:r>
    </w:p>
    <w:p>
      <w:pPr>
        <w:pStyle w:val="9"/>
        <w:tabs>
          <w:tab w:val="right" w:leader="dot" w:pos="8306"/>
        </w:tabs>
        <w:rPr>
          <w:color w:val="auto"/>
        </w:rPr>
      </w:pPr>
      <w:r>
        <w:rPr>
          <w:color w:val="auto"/>
        </w:rPr>
        <w:fldChar w:fldCharType="begin"/>
      </w:r>
      <w:r>
        <w:rPr>
          <w:color w:val="auto"/>
        </w:rPr>
        <w:instrText xml:space="preserve"> HYPERLINK \l "_Toc26526" </w:instrText>
      </w:r>
      <w:r>
        <w:rPr>
          <w:color w:val="auto"/>
        </w:rPr>
        <w:fldChar w:fldCharType="separate"/>
      </w:r>
      <w:r>
        <w:rPr>
          <w:rFonts w:hint="eastAsia" w:ascii="宋体" w:hAnsi="宋体"/>
          <w:bCs/>
          <w:color w:val="auto"/>
        </w:rPr>
        <w:t>5.顶岗实习</w:t>
      </w:r>
      <w:r>
        <w:rPr>
          <w:color w:val="auto"/>
        </w:rPr>
        <w:tab/>
      </w:r>
      <w:r>
        <w:rPr>
          <w:color w:val="auto"/>
        </w:rPr>
        <w:fldChar w:fldCharType="begin"/>
      </w:r>
      <w:r>
        <w:rPr>
          <w:color w:val="auto"/>
        </w:rPr>
        <w:instrText xml:space="preserve"> PAGEREF _Toc26526 \h </w:instrText>
      </w:r>
      <w:r>
        <w:rPr>
          <w:color w:val="auto"/>
        </w:rPr>
        <w:fldChar w:fldCharType="separate"/>
      </w:r>
      <w:r>
        <w:rPr>
          <w:color w:val="auto"/>
        </w:rPr>
        <w:t>10</w:t>
      </w:r>
      <w:r>
        <w:rPr>
          <w:color w:val="auto"/>
        </w:rPr>
        <w:fldChar w:fldCharType="end"/>
      </w:r>
      <w:r>
        <w:rPr>
          <w:color w:val="auto"/>
        </w:rPr>
        <w:fldChar w:fldCharType="end"/>
      </w:r>
    </w:p>
    <w:p>
      <w:pPr>
        <w:pStyle w:val="9"/>
        <w:tabs>
          <w:tab w:val="right" w:leader="dot" w:pos="8306"/>
        </w:tabs>
        <w:rPr>
          <w:color w:val="auto"/>
        </w:rPr>
      </w:pPr>
      <w:r>
        <w:rPr>
          <w:color w:val="auto"/>
        </w:rPr>
        <w:fldChar w:fldCharType="begin"/>
      </w:r>
      <w:r>
        <w:rPr>
          <w:color w:val="auto"/>
        </w:rPr>
        <w:instrText xml:space="preserve"> HYPERLINK \l "_Toc11801" </w:instrText>
      </w:r>
      <w:r>
        <w:rPr>
          <w:color w:val="auto"/>
        </w:rPr>
        <w:fldChar w:fldCharType="separate"/>
      </w:r>
      <w:r>
        <w:rPr>
          <w:rFonts w:hint="eastAsia" w:ascii="宋体" w:hAnsi="宋体"/>
          <w:bCs/>
          <w:color w:val="auto"/>
        </w:rPr>
        <w:t>6.课程结构图</w:t>
      </w:r>
      <w:r>
        <w:rPr>
          <w:color w:val="auto"/>
        </w:rPr>
        <w:tab/>
      </w:r>
      <w:r>
        <w:rPr>
          <w:rFonts w:hint="eastAsia"/>
          <w:color w:val="auto"/>
        </w:rPr>
        <w:t>1</w:t>
      </w:r>
      <w:r>
        <w:rPr>
          <w:rFonts w:hint="eastAsia"/>
          <w:color w:val="auto"/>
        </w:rPr>
        <w:fldChar w:fldCharType="end"/>
      </w:r>
      <w:r>
        <w:rPr>
          <w:rFonts w:hint="eastAsia"/>
          <w:color w:val="auto"/>
        </w:rPr>
        <w:t>1</w:t>
      </w:r>
    </w:p>
    <w:p>
      <w:pPr>
        <w:pStyle w:val="9"/>
        <w:tabs>
          <w:tab w:val="right" w:leader="dot" w:pos="8306"/>
        </w:tabs>
        <w:ind w:left="0" w:leftChars="0"/>
        <w:rPr>
          <w:color w:val="auto"/>
        </w:rPr>
      </w:pPr>
      <w:r>
        <w:rPr>
          <w:rFonts w:hint="eastAsia" w:ascii="黑体" w:hAnsi="宋体" w:eastAsia="黑体"/>
          <w:bCs/>
          <w:color w:val="auto"/>
          <w:szCs w:val="28"/>
        </w:rPr>
        <w:t>七．【</w:t>
      </w:r>
      <w:r>
        <w:rPr>
          <w:rFonts w:hint="eastAsia" w:ascii="黑体" w:hAnsi="黑体" w:eastAsia="黑体" w:cs="黑体"/>
          <w:bCs/>
          <w:color w:val="auto"/>
        </w:rPr>
        <w:t>学时安排</w:t>
      </w:r>
      <w:r>
        <w:rPr>
          <w:rFonts w:hint="eastAsia" w:ascii="黑体" w:hAnsi="宋体" w:eastAsia="黑体"/>
          <w:bCs/>
          <w:color w:val="auto"/>
          <w:szCs w:val="28"/>
        </w:rPr>
        <w:t>】</w:t>
      </w:r>
      <w:r>
        <w:rPr>
          <w:color w:val="auto"/>
        </w:rPr>
        <w:fldChar w:fldCharType="begin"/>
      </w:r>
      <w:r>
        <w:rPr>
          <w:color w:val="auto"/>
        </w:rPr>
        <w:instrText xml:space="preserve"> HYPERLINK \l "_Toc23728"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1</w:t>
      </w:r>
    </w:p>
    <w:p>
      <w:pPr>
        <w:pStyle w:val="16"/>
        <w:tabs>
          <w:tab w:val="right" w:leader="dot" w:pos="8306"/>
        </w:tabs>
        <w:rPr>
          <w:color w:val="auto"/>
          <w:szCs w:val="21"/>
        </w:rPr>
      </w:pPr>
      <w:r>
        <w:rPr>
          <w:rFonts w:hint="eastAsia"/>
          <w:color w:val="auto"/>
        </w:rPr>
        <w:t xml:space="preserve">    （</w:t>
      </w:r>
      <w:r>
        <w:rPr>
          <w:rFonts w:hint="eastAsia"/>
          <w:color w:val="auto"/>
          <w:szCs w:val="21"/>
        </w:rPr>
        <w:t>一）教学要求</w:t>
      </w:r>
      <w:r>
        <w:rPr>
          <w:color w:val="auto"/>
        </w:rPr>
        <w:fldChar w:fldCharType="begin"/>
      </w:r>
      <w:r>
        <w:rPr>
          <w:color w:val="auto"/>
        </w:rPr>
        <w:instrText xml:space="preserve"> HYPERLINK \l "_Toc23728"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1</w:t>
      </w:r>
    </w:p>
    <w:p>
      <w:pPr>
        <w:pStyle w:val="9"/>
        <w:tabs>
          <w:tab w:val="right" w:leader="dot" w:pos="8306"/>
        </w:tabs>
        <w:ind w:left="0" w:leftChars="0" w:firstLine="420" w:firstLineChars="200"/>
        <w:rPr>
          <w:rFonts w:ascii="宋体" w:hAnsi="宋体" w:cs="宋体"/>
          <w:color w:val="auto"/>
          <w:szCs w:val="21"/>
        </w:rPr>
      </w:pPr>
      <w:r>
        <w:rPr>
          <w:rFonts w:hint="eastAsia"/>
          <w:color w:val="auto"/>
          <w:szCs w:val="21"/>
        </w:rPr>
        <w:t>（二）</w:t>
      </w:r>
      <w:r>
        <w:rPr>
          <w:rFonts w:hint="eastAsia" w:ascii="宋体" w:hAnsi="宋体" w:cs="宋体"/>
          <w:color w:val="auto"/>
          <w:szCs w:val="21"/>
        </w:rPr>
        <w:t>教学管理</w:t>
      </w:r>
      <w:r>
        <w:rPr>
          <w:color w:val="auto"/>
        </w:rPr>
        <w:fldChar w:fldCharType="begin"/>
      </w:r>
      <w:r>
        <w:rPr>
          <w:color w:val="auto"/>
        </w:rPr>
        <w:instrText xml:space="preserve"> HYPERLINK \l "_Toc23728"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2</w:t>
      </w:r>
    </w:p>
    <w:p>
      <w:pPr>
        <w:pStyle w:val="9"/>
        <w:tabs>
          <w:tab w:val="right" w:leader="dot" w:pos="8306"/>
        </w:tabs>
        <w:ind w:left="0" w:leftChars="0" w:firstLine="420" w:firstLineChars="200"/>
        <w:rPr>
          <w:color w:val="auto"/>
        </w:rPr>
      </w:pPr>
      <w:r>
        <w:rPr>
          <w:rFonts w:hint="eastAsia" w:ascii="宋体" w:hAnsi="宋体" w:cs="宋体"/>
          <w:color w:val="auto"/>
          <w:szCs w:val="21"/>
        </w:rPr>
        <w:t>（三）支持信息化教学方面的基本要求</w:t>
      </w:r>
      <w:r>
        <w:rPr>
          <w:color w:val="auto"/>
        </w:rPr>
        <w:fldChar w:fldCharType="begin"/>
      </w:r>
      <w:r>
        <w:rPr>
          <w:color w:val="auto"/>
        </w:rPr>
        <w:instrText xml:space="preserve"> HYPERLINK \l "_Toc23728"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2</w:t>
      </w:r>
    </w:p>
    <w:p>
      <w:pPr>
        <w:pStyle w:val="16"/>
        <w:tabs>
          <w:tab w:val="right" w:leader="dot" w:pos="8306"/>
        </w:tabs>
        <w:rPr>
          <w:color w:val="auto"/>
        </w:rPr>
      </w:pPr>
      <w:r>
        <w:rPr>
          <w:color w:val="auto"/>
        </w:rPr>
        <w:fldChar w:fldCharType="begin"/>
      </w:r>
      <w:r>
        <w:rPr>
          <w:color w:val="auto"/>
        </w:rPr>
        <w:instrText xml:space="preserve"> HYPERLINK \l "_Toc6597" </w:instrText>
      </w:r>
      <w:r>
        <w:rPr>
          <w:color w:val="auto"/>
        </w:rPr>
        <w:fldChar w:fldCharType="separate"/>
      </w:r>
      <w:r>
        <w:rPr>
          <w:rFonts w:hint="eastAsia" w:ascii="黑体" w:hAnsi="宋体" w:eastAsia="黑体"/>
          <w:bCs/>
          <w:color w:val="auto"/>
          <w:szCs w:val="28"/>
        </w:rPr>
        <w:t>八．【</w:t>
      </w:r>
      <w:r>
        <w:rPr>
          <w:rFonts w:hint="eastAsia" w:ascii="黑体" w:hAnsi="黑体" w:eastAsia="黑体" w:cs="黑体"/>
          <w:bCs/>
          <w:color w:val="auto"/>
        </w:rPr>
        <w:t>教学进度总体安排</w:t>
      </w:r>
      <w:r>
        <w:rPr>
          <w:rFonts w:hint="eastAsia" w:ascii="黑体" w:hAnsi="宋体" w:eastAsia="黑体"/>
          <w:bCs/>
          <w:color w:val="auto"/>
          <w:szCs w:val="28"/>
        </w:rPr>
        <w:t>】</w:t>
      </w:r>
      <w:r>
        <w:rPr>
          <w:color w:val="auto"/>
        </w:rPr>
        <w:tab/>
      </w:r>
      <w:r>
        <w:rPr>
          <w:color w:val="auto"/>
        </w:rPr>
        <w:fldChar w:fldCharType="begin"/>
      </w:r>
      <w:r>
        <w:rPr>
          <w:color w:val="auto"/>
        </w:rPr>
        <w:instrText xml:space="preserve"> PAGEREF _Toc6597 \h </w:instrText>
      </w:r>
      <w:r>
        <w:rPr>
          <w:color w:val="auto"/>
        </w:rPr>
        <w:fldChar w:fldCharType="separate"/>
      </w:r>
      <w:r>
        <w:rPr>
          <w:color w:val="auto"/>
        </w:rPr>
        <w:t>13</w:t>
      </w:r>
      <w:r>
        <w:rPr>
          <w:color w:val="auto"/>
        </w:rPr>
        <w:fldChar w:fldCharType="end"/>
      </w:r>
      <w:r>
        <w:rPr>
          <w:color w:val="auto"/>
        </w:rPr>
        <w:fldChar w:fldCharType="end"/>
      </w:r>
    </w:p>
    <w:p>
      <w:pPr>
        <w:pStyle w:val="9"/>
        <w:tabs>
          <w:tab w:val="right" w:leader="dot" w:pos="8306"/>
        </w:tabs>
        <w:ind w:left="0" w:leftChars="0"/>
        <w:rPr>
          <w:color w:val="auto"/>
        </w:rPr>
      </w:pPr>
      <w:r>
        <w:rPr>
          <w:rFonts w:hint="eastAsia" w:ascii="黑体" w:hAnsi="宋体" w:eastAsia="黑体"/>
          <w:bCs/>
          <w:color w:val="auto"/>
          <w:szCs w:val="28"/>
        </w:rPr>
        <w:t>九.【实施保障】</w:t>
      </w:r>
      <w:r>
        <w:rPr>
          <w:color w:val="auto"/>
        </w:rPr>
        <w:fldChar w:fldCharType="begin"/>
      </w:r>
      <w:r>
        <w:rPr>
          <w:color w:val="auto"/>
        </w:rPr>
        <w:instrText xml:space="preserve"> HYPERLINK \l "_Toc23728"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3</w:t>
      </w:r>
    </w:p>
    <w:p>
      <w:pPr>
        <w:pStyle w:val="17"/>
        <w:tabs>
          <w:tab w:val="right" w:leader="dot" w:pos="8306"/>
        </w:tabs>
        <w:rPr>
          <w:color w:val="auto"/>
        </w:rPr>
      </w:pPr>
      <w:r>
        <w:rPr>
          <w:color w:val="auto"/>
        </w:rPr>
        <w:fldChar w:fldCharType="begin"/>
      </w:r>
      <w:r>
        <w:rPr>
          <w:color w:val="auto"/>
        </w:rPr>
        <w:instrText xml:space="preserve"> HYPERLINK \l "_Toc23334" </w:instrText>
      </w:r>
      <w:r>
        <w:rPr>
          <w:color w:val="auto"/>
        </w:rPr>
        <w:fldChar w:fldCharType="separate"/>
      </w:r>
      <w:r>
        <w:rPr>
          <w:rFonts w:hint="eastAsia" w:ascii="宋体" w:hAnsi="宋体" w:cs="宋体"/>
          <w:color w:val="auto"/>
        </w:rPr>
        <w:t>（一）师资队伍</w:t>
      </w:r>
      <w:r>
        <w:rPr>
          <w:color w:val="auto"/>
        </w:rPr>
        <w:tab/>
      </w:r>
      <w:r>
        <w:rPr>
          <w:color w:val="auto"/>
        </w:rPr>
        <w:fldChar w:fldCharType="begin"/>
      </w:r>
      <w:r>
        <w:rPr>
          <w:color w:val="auto"/>
        </w:rPr>
        <w:instrText xml:space="preserve"> PAGEREF _Toc23334 \h </w:instrText>
      </w:r>
      <w:r>
        <w:rPr>
          <w:color w:val="auto"/>
        </w:rPr>
        <w:fldChar w:fldCharType="separate"/>
      </w:r>
      <w:r>
        <w:rPr>
          <w:color w:val="auto"/>
        </w:rPr>
        <w:t>13</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"_Toc29590" </w:instrText>
      </w:r>
      <w:r>
        <w:rPr>
          <w:color w:val="auto"/>
        </w:rPr>
        <w:fldChar w:fldCharType="separate"/>
      </w:r>
      <w:r>
        <w:rPr>
          <w:rFonts w:hint="eastAsia" w:ascii="宋体" w:hAnsi="宋体" w:cs="宋体"/>
          <w:color w:val="auto"/>
        </w:rPr>
        <w:t>（二）教学设施</w:t>
      </w:r>
      <w:r>
        <w:rPr>
          <w:color w:val="auto"/>
        </w:rPr>
        <w:tab/>
      </w:r>
      <w:r>
        <w:rPr>
          <w:rFonts w:hint="eastAsia"/>
          <w:color w:val="auto"/>
        </w:rPr>
        <w:t>1</w:t>
      </w:r>
      <w:r>
        <w:rPr>
          <w:rFonts w:hint="eastAsia"/>
          <w:color w:val="auto"/>
        </w:rPr>
        <w:fldChar w:fldCharType="end"/>
      </w:r>
      <w:r>
        <w:rPr>
          <w:rFonts w:hint="eastAsia"/>
          <w:color w:val="auto"/>
        </w:rPr>
        <w:t>4</w:t>
      </w:r>
    </w:p>
    <w:p>
      <w:pPr>
        <w:pStyle w:val="9"/>
        <w:tabs>
          <w:tab w:val="right" w:leader="dot" w:pos="8306"/>
        </w:tabs>
        <w:ind w:left="0" w:leftChars="0" w:firstLine="420" w:firstLineChars="200"/>
        <w:rPr>
          <w:color w:val="auto"/>
        </w:rPr>
      </w:pPr>
      <w:r>
        <w:rPr>
          <w:rFonts w:hint="eastAsia"/>
          <w:color w:val="auto"/>
        </w:rPr>
        <w:t xml:space="preserve">    1、校内实训设施</w:t>
      </w:r>
      <w:r>
        <w:rPr>
          <w:color w:val="auto"/>
        </w:rPr>
        <w:fldChar w:fldCharType="begin"/>
      </w:r>
      <w:r>
        <w:rPr>
          <w:color w:val="auto"/>
        </w:rPr>
        <w:instrText xml:space="preserve"> HYPERLINK \l "_Toc23728"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4</w:t>
      </w:r>
    </w:p>
    <w:p>
      <w:pPr>
        <w:pStyle w:val="9"/>
        <w:tabs>
          <w:tab w:val="right" w:leader="dot" w:pos="8306"/>
        </w:tabs>
        <w:ind w:left="0" w:leftChars="0"/>
        <w:rPr>
          <w:color w:val="auto"/>
        </w:rPr>
      </w:pPr>
      <w:r>
        <w:rPr>
          <w:rFonts w:hint="eastAsia"/>
          <w:color w:val="auto"/>
        </w:rPr>
        <w:t xml:space="preserve">        2、校外实训基地</w:t>
      </w:r>
      <w:r>
        <w:rPr>
          <w:color w:val="auto"/>
        </w:rPr>
        <w:fldChar w:fldCharType="begin"/>
      </w:r>
      <w:r>
        <w:rPr>
          <w:color w:val="auto"/>
        </w:rPr>
        <w:instrText xml:space="preserve"> HYPERLINK \l "_Toc23728"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5</w:t>
      </w:r>
    </w:p>
    <w:p>
      <w:pPr>
        <w:pStyle w:val="9"/>
        <w:tabs>
          <w:tab w:val="right" w:leader="dot" w:pos="8306"/>
        </w:tabs>
        <w:ind w:left="0" w:leftChars="0" w:firstLine="420" w:firstLineChars="200"/>
        <w:rPr>
          <w:color w:val="auto"/>
        </w:rPr>
      </w:pPr>
      <w:r>
        <w:rPr>
          <w:rFonts w:hint="eastAsia"/>
          <w:color w:val="auto"/>
        </w:rPr>
        <w:t>（三）教学资源</w:t>
      </w:r>
      <w:r>
        <w:rPr>
          <w:color w:val="auto"/>
        </w:rPr>
        <w:fldChar w:fldCharType="begin"/>
      </w:r>
      <w:r>
        <w:rPr>
          <w:color w:val="auto"/>
        </w:rPr>
        <w:instrText xml:space="preserve"> HYPERLINK \l "_Toc317" </w:instrText>
      </w:r>
      <w:r>
        <w:rPr>
          <w:color w:val="auto"/>
        </w:rPr>
        <w:fldChar w:fldCharType="separate"/>
      </w:r>
      <w:r>
        <w:rPr>
          <w:color w:val="auto"/>
        </w:rPr>
        <w:tab/>
      </w:r>
      <w:r>
        <w:rPr>
          <w:rFonts w:hint="eastAsia"/>
          <w:color w:val="auto"/>
        </w:rPr>
        <w:t>1</w:t>
      </w:r>
      <w:r>
        <w:rPr>
          <w:rFonts w:hint="eastAsia"/>
          <w:color w:val="auto"/>
        </w:rPr>
        <w:fldChar w:fldCharType="end"/>
      </w:r>
      <w:r>
        <w:rPr>
          <w:rFonts w:hint="eastAsia"/>
          <w:color w:val="auto"/>
        </w:rPr>
        <w:t>5</w:t>
      </w:r>
    </w:p>
    <w:p>
      <w:pPr>
        <w:pStyle w:val="9"/>
        <w:tabs>
          <w:tab w:val="right" w:leader="dot" w:pos="8306"/>
        </w:tabs>
        <w:rPr>
          <w:color w:val="auto"/>
        </w:rPr>
      </w:pPr>
      <w:r>
        <w:rPr>
          <w:color w:val="auto"/>
        </w:rPr>
        <w:fldChar w:fldCharType="begin"/>
      </w:r>
      <w:r>
        <w:rPr>
          <w:color w:val="auto"/>
        </w:rPr>
        <w:instrText xml:space="preserve"> HYPERLINK \l "_Toc19797" </w:instrText>
      </w:r>
      <w:r>
        <w:rPr>
          <w:color w:val="auto"/>
        </w:rPr>
        <w:fldChar w:fldCharType="separate"/>
      </w:r>
      <w:r>
        <w:rPr>
          <w:rFonts w:hint="eastAsia" w:ascii="宋体" w:hAnsi="宋体"/>
          <w:color w:val="auto"/>
        </w:rPr>
        <w:t>1、教材选用</w:t>
      </w:r>
      <w:r>
        <w:rPr>
          <w:color w:val="auto"/>
        </w:rPr>
        <w:tab/>
      </w:r>
      <w:r>
        <w:rPr>
          <w:rFonts w:hint="eastAsia"/>
          <w:color w:val="auto"/>
        </w:rPr>
        <w:t>1</w:t>
      </w:r>
      <w:r>
        <w:rPr>
          <w:rFonts w:hint="eastAsia"/>
          <w:color w:val="auto"/>
        </w:rPr>
        <w:fldChar w:fldCharType="end"/>
      </w:r>
      <w:r>
        <w:rPr>
          <w:rFonts w:hint="eastAsia"/>
          <w:color w:val="auto"/>
        </w:rPr>
        <w:t>5</w:t>
      </w:r>
    </w:p>
    <w:p>
      <w:pPr>
        <w:pStyle w:val="9"/>
        <w:tabs>
          <w:tab w:val="right" w:leader="dot" w:pos="8306"/>
        </w:tabs>
        <w:rPr>
          <w:color w:val="auto"/>
        </w:rPr>
      </w:pPr>
      <w:r>
        <w:rPr>
          <w:color w:val="auto"/>
        </w:rPr>
        <w:fldChar w:fldCharType="begin"/>
      </w:r>
      <w:r>
        <w:rPr>
          <w:color w:val="auto"/>
        </w:rPr>
        <w:instrText xml:space="preserve"> HYPERLINK \l "_Toc23568" </w:instrText>
      </w:r>
      <w:r>
        <w:rPr>
          <w:color w:val="auto"/>
        </w:rPr>
        <w:fldChar w:fldCharType="separate"/>
      </w:r>
      <w:r>
        <w:rPr>
          <w:rFonts w:hint="eastAsia" w:ascii="宋体" w:hAnsi="宋体"/>
          <w:color w:val="auto"/>
        </w:rPr>
        <w:t>2.数字资源</w:t>
      </w:r>
      <w:r>
        <w:rPr>
          <w:color w:val="auto"/>
        </w:rPr>
        <w:tab/>
      </w:r>
      <w:r>
        <w:rPr>
          <w:rFonts w:hint="eastAsia"/>
          <w:color w:val="auto"/>
        </w:rPr>
        <w:t>1</w:t>
      </w:r>
      <w:r>
        <w:rPr>
          <w:rFonts w:hint="eastAsia"/>
          <w:color w:val="auto"/>
        </w:rPr>
        <w:fldChar w:fldCharType="end"/>
      </w:r>
      <w:r>
        <w:rPr>
          <w:rFonts w:hint="eastAsia"/>
          <w:color w:val="auto"/>
        </w:rPr>
        <w:t>6</w:t>
      </w:r>
    </w:p>
    <w:p>
      <w:pPr>
        <w:pStyle w:val="16"/>
        <w:tabs>
          <w:tab w:val="right" w:leader="dot" w:pos="8306"/>
        </w:tabs>
        <w:ind w:firstLine="420" w:firstLineChars="200"/>
        <w:rPr>
          <w:color w:val="auto"/>
        </w:rPr>
      </w:pPr>
      <w:r>
        <w:rPr>
          <w:color w:val="auto"/>
        </w:rPr>
        <w:fldChar w:fldCharType="begin"/>
      </w:r>
      <w:r>
        <w:rPr>
          <w:color w:val="auto"/>
        </w:rPr>
        <w:instrText xml:space="preserve"> HYPERLINK \l "_Toc26150" </w:instrText>
      </w:r>
      <w:r>
        <w:rPr>
          <w:color w:val="auto"/>
        </w:rPr>
        <w:fldChar w:fldCharType="separate"/>
      </w:r>
      <w:r>
        <w:rPr>
          <w:rFonts w:hint="eastAsia"/>
          <w:color w:val="auto"/>
        </w:rPr>
        <w:t>（四）教学方法</w:t>
      </w:r>
      <w:r>
        <w:rPr>
          <w:color w:val="auto"/>
        </w:rPr>
        <w:tab/>
      </w:r>
      <w:r>
        <w:rPr>
          <w:rFonts w:hint="eastAsia"/>
          <w:color w:val="auto"/>
        </w:rPr>
        <w:t>1</w:t>
      </w:r>
      <w:r>
        <w:rPr>
          <w:rFonts w:hint="eastAsia"/>
          <w:color w:val="auto"/>
        </w:rPr>
        <w:fldChar w:fldCharType="end"/>
      </w:r>
      <w:r>
        <w:rPr>
          <w:rFonts w:hint="eastAsia"/>
          <w:color w:val="auto"/>
        </w:rPr>
        <w:t>6</w:t>
      </w:r>
    </w:p>
    <w:p>
      <w:pPr>
        <w:pStyle w:val="17"/>
        <w:tabs>
          <w:tab w:val="right" w:leader="dot" w:pos="8306"/>
        </w:tabs>
        <w:rPr>
          <w:color w:val="auto"/>
        </w:rPr>
      </w:pPr>
      <w:r>
        <w:rPr>
          <w:color w:val="auto"/>
        </w:rPr>
        <w:fldChar w:fldCharType="begin"/>
      </w:r>
      <w:r>
        <w:rPr>
          <w:color w:val="auto"/>
        </w:rPr>
        <w:instrText xml:space="preserve"> HYPERLINK \l "_Toc29171" </w:instrText>
      </w:r>
      <w:r>
        <w:rPr>
          <w:color w:val="auto"/>
        </w:rPr>
        <w:fldChar w:fldCharType="separate"/>
      </w:r>
      <w:r>
        <w:rPr>
          <w:rFonts w:hint="eastAsia" w:ascii="宋体" w:hAnsi="宋体" w:cs="宋体"/>
          <w:color w:val="auto"/>
        </w:rPr>
        <w:t>（五）教学评价</w:t>
      </w:r>
      <w:r>
        <w:rPr>
          <w:color w:val="auto"/>
        </w:rPr>
        <w:tab/>
      </w:r>
      <w:r>
        <w:rPr>
          <w:rFonts w:hint="eastAsia"/>
          <w:color w:val="auto"/>
        </w:rPr>
        <w:t>1</w:t>
      </w:r>
      <w:r>
        <w:rPr>
          <w:rFonts w:hint="eastAsia"/>
          <w:color w:val="auto"/>
        </w:rPr>
        <w:fldChar w:fldCharType="end"/>
      </w:r>
      <w:r>
        <w:rPr>
          <w:rFonts w:hint="eastAsia"/>
          <w:color w:val="auto"/>
        </w:rPr>
        <w:t>7</w:t>
      </w:r>
    </w:p>
    <w:p>
      <w:pPr>
        <w:pStyle w:val="9"/>
        <w:tabs>
          <w:tab w:val="right" w:leader="dot" w:pos="8306"/>
        </w:tabs>
        <w:rPr>
          <w:color w:val="auto"/>
        </w:rPr>
      </w:pPr>
      <w:r>
        <w:rPr>
          <w:color w:val="auto"/>
        </w:rPr>
        <w:fldChar w:fldCharType="begin"/>
      </w:r>
      <w:r>
        <w:rPr>
          <w:color w:val="auto"/>
        </w:rPr>
        <w:instrText xml:space="preserve"> HYPERLINK \l "_Toc14193" </w:instrText>
      </w:r>
      <w:r>
        <w:rPr>
          <w:color w:val="auto"/>
        </w:rPr>
        <w:fldChar w:fldCharType="separate"/>
      </w:r>
      <w:r>
        <w:rPr>
          <w:rFonts w:hint="eastAsia" w:ascii="宋体" w:hAnsi="宋体" w:cs="宋体"/>
          <w:color w:val="auto"/>
        </w:rPr>
        <w:t>1.课堂教学效果评价方式</w:t>
      </w:r>
      <w:r>
        <w:rPr>
          <w:color w:val="auto"/>
        </w:rPr>
        <w:tab/>
      </w:r>
      <w:r>
        <w:rPr>
          <w:rFonts w:hint="eastAsia"/>
          <w:color w:val="auto"/>
        </w:rPr>
        <w:t>1</w:t>
      </w:r>
      <w:r>
        <w:rPr>
          <w:rFonts w:hint="eastAsia"/>
          <w:color w:val="auto"/>
        </w:rPr>
        <w:fldChar w:fldCharType="end"/>
      </w:r>
      <w:r>
        <w:rPr>
          <w:rFonts w:hint="eastAsia"/>
          <w:color w:val="auto"/>
        </w:rPr>
        <w:t>7</w:t>
      </w:r>
    </w:p>
    <w:p>
      <w:pPr>
        <w:pStyle w:val="9"/>
        <w:tabs>
          <w:tab w:val="right" w:leader="dot" w:pos="8306"/>
        </w:tabs>
        <w:rPr>
          <w:color w:val="auto"/>
        </w:rPr>
      </w:pPr>
      <w:r>
        <w:rPr>
          <w:color w:val="auto"/>
        </w:rPr>
        <w:fldChar w:fldCharType="begin"/>
      </w:r>
      <w:r>
        <w:rPr>
          <w:color w:val="auto"/>
        </w:rPr>
        <w:instrText xml:space="preserve"> HYPERLINK \l "_Toc26810" </w:instrText>
      </w:r>
      <w:r>
        <w:rPr>
          <w:color w:val="auto"/>
        </w:rPr>
        <w:fldChar w:fldCharType="separate"/>
      </w:r>
      <w:r>
        <w:rPr>
          <w:rFonts w:hint="eastAsia" w:ascii="宋体" w:hAnsi="宋体" w:cs="宋体"/>
          <w:color w:val="auto"/>
        </w:rPr>
        <w:t>2.实习实训效果评价方式</w:t>
      </w:r>
      <w:r>
        <w:rPr>
          <w:color w:val="auto"/>
        </w:rPr>
        <w:tab/>
      </w:r>
      <w:r>
        <w:rPr>
          <w:rFonts w:hint="eastAsia"/>
          <w:color w:val="auto"/>
        </w:rPr>
        <w:t>1</w:t>
      </w:r>
      <w:r>
        <w:rPr>
          <w:rFonts w:hint="eastAsia"/>
          <w:color w:val="auto"/>
        </w:rPr>
        <w:fldChar w:fldCharType="end"/>
      </w:r>
      <w:r>
        <w:rPr>
          <w:rFonts w:hint="eastAsia"/>
          <w:color w:val="auto"/>
        </w:rPr>
        <w:t>7</w:t>
      </w:r>
    </w:p>
    <w:p>
      <w:pPr>
        <w:pStyle w:val="17"/>
        <w:tabs>
          <w:tab w:val="right" w:leader="dot" w:pos="8306"/>
        </w:tabs>
        <w:rPr>
          <w:color w:val="auto"/>
        </w:rPr>
      </w:pPr>
      <w:r>
        <w:rPr>
          <w:color w:val="auto"/>
        </w:rPr>
        <w:fldChar w:fldCharType="begin"/>
      </w:r>
      <w:r>
        <w:rPr>
          <w:color w:val="auto"/>
        </w:rPr>
        <w:instrText xml:space="preserve"> HYPERLINK \l "_Toc23109" </w:instrText>
      </w:r>
      <w:r>
        <w:rPr>
          <w:color w:val="auto"/>
        </w:rPr>
        <w:fldChar w:fldCharType="separate"/>
      </w:r>
      <w:r>
        <w:rPr>
          <w:rFonts w:hint="eastAsia" w:ascii="宋体" w:hAnsi="宋体" w:cs="宋体"/>
          <w:color w:val="auto"/>
        </w:rPr>
        <w:t>（六）质量管理</w:t>
      </w:r>
      <w:r>
        <w:rPr>
          <w:color w:val="auto"/>
        </w:rPr>
        <w:tab/>
      </w:r>
      <w:r>
        <w:rPr>
          <w:rFonts w:hint="eastAsia"/>
          <w:color w:val="auto"/>
        </w:rPr>
        <w:t>1</w:t>
      </w:r>
      <w:r>
        <w:rPr>
          <w:rFonts w:hint="eastAsia"/>
          <w:color w:val="auto"/>
        </w:rPr>
        <w:fldChar w:fldCharType="end"/>
      </w:r>
      <w:r>
        <w:rPr>
          <w:rFonts w:hint="eastAsia"/>
          <w:color w:val="auto"/>
        </w:rPr>
        <w:t>7</w:t>
      </w:r>
    </w:p>
    <w:p>
      <w:pPr>
        <w:pStyle w:val="16"/>
        <w:tabs>
          <w:tab w:val="right" w:leader="dot" w:pos="8306"/>
        </w:tabs>
        <w:rPr>
          <w:color w:val="auto"/>
        </w:rPr>
        <w:sectPr>
          <w:pgSz w:w="11906" w:h="16838"/>
          <w:pgMar w:top="1440" w:right="1080" w:bottom="1440" w:left="1080" w:header="851" w:footer="992" w:gutter="0"/>
          <w:pgNumType w:start="1"/>
          <w:cols w:space="425" w:num="1"/>
          <w:docGrid w:type="lines" w:linePitch="312" w:charSpace="0"/>
        </w:sectPr>
      </w:pPr>
      <w:r>
        <w:rPr>
          <w:color w:val="auto"/>
        </w:rPr>
        <w:fldChar w:fldCharType="begin"/>
      </w:r>
      <w:r>
        <w:rPr>
          <w:color w:val="auto"/>
        </w:rPr>
        <w:instrText xml:space="preserve"> HYPERLINK \l "_Toc5397" </w:instrText>
      </w:r>
      <w:r>
        <w:rPr>
          <w:color w:val="auto"/>
        </w:rPr>
        <w:fldChar w:fldCharType="separate"/>
      </w:r>
      <w:r>
        <w:rPr>
          <w:rFonts w:hint="eastAsia" w:ascii="黑体" w:hAnsi="宋体" w:eastAsia="黑体"/>
          <w:bCs/>
          <w:color w:val="auto"/>
          <w:szCs w:val="28"/>
        </w:rPr>
        <w:t>十.【毕业要求】</w:t>
      </w:r>
      <w:r>
        <w:rPr>
          <w:color w:val="auto"/>
        </w:rPr>
        <w:tab/>
      </w:r>
      <w:r>
        <w:rPr>
          <w:rFonts w:hint="eastAsia"/>
          <w:color w:val="auto"/>
        </w:rPr>
        <w:t>1</w:t>
      </w:r>
      <w:r>
        <w:rPr>
          <w:rFonts w:hint="eastAsia"/>
          <w:color w:val="auto"/>
        </w:rPr>
        <w:fldChar w:fldCharType="end"/>
      </w:r>
      <w:r>
        <w:rPr>
          <w:rFonts w:hint="eastAsia"/>
          <w:color w:val="auto"/>
        </w:rPr>
        <w:t>8</w:t>
      </w:r>
    </w:p>
    <w:p>
      <w:pPr>
        <w:spacing w:before="100" w:beforeAutospacing="1" w:after="100" w:afterAutospacing="1"/>
        <w:ind w:firstLine="840" w:firstLineChars="400"/>
        <w:jc w:val="center"/>
        <w:rPr>
          <w:rFonts w:ascii="宋体" w:hAnsi="宋体" w:eastAsia="宋体"/>
          <w:color w:val="auto"/>
          <w:sz w:val="36"/>
          <w:szCs w:val="36"/>
        </w:rPr>
      </w:pPr>
      <w:r>
        <w:rPr>
          <w:rFonts w:hint="eastAsia" w:ascii="宋体" w:hAnsi="宋体" w:cs="宋体"/>
          <w:bCs/>
          <w:color w:val="auto"/>
        </w:rPr>
        <w:fldChar w:fldCharType="end"/>
      </w:r>
      <w:r>
        <w:rPr>
          <w:rFonts w:hint="eastAsia" w:ascii="宋体" w:hAnsi="宋体" w:cs="宋体"/>
          <w:bCs/>
          <w:color w:val="auto"/>
        </w:rPr>
        <w:t xml:space="preserve">      </w:t>
      </w:r>
      <w:r>
        <w:rPr>
          <w:rFonts w:hint="eastAsia" w:ascii="宋体" w:hAnsi="宋体" w:eastAsia="宋体" w:cs="宋体"/>
          <w:bCs/>
          <w:color w:val="auto"/>
        </w:rPr>
        <w:t xml:space="preserve"> </w:t>
      </w:r>
      <w:r>
        <w:rPr>
          <w:rFonts w:hint="eastAsia" w:ascii="宋体" w:hAnsi="宋体" w:eastAsia="宋体"/>
          <w:color w:val="auto"/>
          <w:sz w:val="36"/>
          <w:szCs w:val="36"/>
        </w:rPr>
        <w:t>化学工艺专业</w:t>
      </w:r>
      <w:r>
        <w:rPr>
          <w:rFonts w:ascii="宋体" w:hAnsi="宋体" w:eastAsia="宋体"/>
          <w:color w:val="auto"/>
          <w:sz w:val="36"/>
          <w:szCs w:val="36"/>
        </w:rPr>
        <w:t>人才培养方案</w:t>
      </w:r>
    </w:p>
    <w:p>
      <w:pPr>
        <w:spacing w:before="100" w:beforeAutospacing="1" w:after="100" w:afterAutospacing="1"/>
        <w:rPr>
          <w:rFonts w:ascii="宋体" w:hAnsi="宋体" w:eastAsia="宋体"/>
          <w:b/>
          <w:bCs/>
          <w:color w:val="auto"/>
          <w:sz w:val="30"/>
          <w:szCs w:val="30"/>
        </w:rPr>
      </w:pPr>
      <w:r>
        <w:rPr>
          <w:rFonts w:hint="eastAsia" w:ascii="宋体" w:hAnsi="宋体" w:eastAsia="宋体"/>
          <w:b/>
          <w:bCs/>
          <w:color w:val="auto"/>
          <w:sz w:val="30"/>
          <w:szCs w:val="30"/>
        </w:rPr>
        <w:t>一、</w:t>
      </w:r>
      <w:r>
        <w:rPr>
          <w:rFonts w:ascii="宋体" w:hAnsi="宋体" w:eastAsia="宋体"/>
          <w:b/>
          <w:bCs/>
          <w:color w:val="auto"/>
          <w:sz w:val="30"/>
          <w:szCs w:val="30"/>
        </w:rPr>
        <w:t>专业名称及代码</w:t>
      </w:r>
    </w:p>
    <w:p>
      <w:pPr>
        <w:spacing w:before="100" w:beforeAutospacing="1" w:after="100" w:afterAutospacing="1"/>
        <w:rPr>
          <w:rFonts w:ascii="宋体" w:hAnsi="宋体" w:eastAsia="宋体"/>
          <w:color w:val="auto"/>
          <w:sz w:val="24"/>
          <w:szCs w:val="24"/>
        </w:rPr>
      </w:pPr>
      <w:r>
        <w:rPr>
          <w:rFonts w:hint="eastAsia" w:ascii="宋体" w:hAnsi="宋体" w:eastAsia="宋体"/>
          <w:color w:val="auto"/>
          <w:sz w:val="24"/>
          <w:szCs w:val="24"/>
        </w:rPr>
        <w:t>专业名称：化学工艺专业</w:t>
      </w:r>
    </w:p>
    <w:p>
      <w:pPr>
        <w:spacing w:before="100" w:beforeAutospacing="1" w:after="100" w:afterAutospacing="1"/>
        <w:rPr>
          <w:rFonts w:hint="default" w:ascii="宋体" w:hAnsi="宋体" w:eastAsia="宋体"/>
          <w:color w:val="auto"/>
          <w:sz w:val="24"/>
          <w:szCs w:val="24"/>
          <w:lang w:val="en-US" w:eastAsia="zh-CN"/>
        </w:rPr>
      </w:pPr>
      <w:r>
        <w:rPr>
          <w:rFonts w:hint="eastAsia" w:ascii="宋体" w:hAnsi="宋体" w:eastAsia="宋体"/>
          <w:color w:val="auto"/>
          <w:sz w:val="24"/>
          <w:szCs w:val="24"/>
        </w:rPr>
        <w:t>专业代码：</w:t>
      </w:r>
      <w:r>
        <w:rPr>
          <w:rFonts w:hint="eastAsia" w:ascii="宋体" w:hAnsi="宋体" w:eastAsia="宋体"/>
          <w:color w:val="auto"/>
          <w:sz w:val="24"/>
          <w:szCs w:val="24"/>
          <w:lang w:val="en-US" w:eastAsia="zh-CN"/>
        </w:rPr>
        <w:t>670201</w:t>
      </w:r>
    </w:p>
    <w:p>
      <w:pPr>
        <w:spacing w:before="100" w:beforeAutospacing="1" w:after="100" w:afterAutospacing="1"/>
        <w:rPr>
          <w:rFonts w:ascii="宋体" w:hAnsi="宋体" w:eastAsia="宋体"/>
          <w:color w:val="auto"/>
          <w:sz w:val="30"/>
          <w:szCs w:val="30"/>
        </w:rPr>
      </w:pPr>
      <w:r>
        <w:rPr>
          <w:rFonts w:hint="eastAsia" w:ascii="宋体" w:hAnsi="宋体" w:eastAsia="宋体"/>
          <w:b/>
          <w:bCs/>
          <w:color w:val="auto"/>
          <w:sz w:val="30"/>
          <w:szCs w:val="30"/>
        </w:rPr>
        <w:t>二、</w:t>
      </w:r>
      <w:r>
        <w:rPr>
          <w:rFonts w:ascii="宋体" w:hAnsi="宋体" w:eastAsia="宋体"/>
          <w:b/>
          <w:bCs/>
          <w:color w:val="auto"/>
          <w:sz w:val="30"/>
          <w:szCs w:val="30"/>
        </w:rPr>
        <w:t>入学要求</w:t>
      </w:r>
    </w:p>
    <w:p>
      <w:pPr>
        <w:spacing w:before="100" w:beforeAutospacing="1" w:after="100" w:afterAutospacing="1"/>
        <w:ind w:firstLine="480" w:firstLineChars="200"/>
        <w:rPr>
          <w:rFonts w:ascii="宋体" w:hAnsi="宋体" w:eastAsia="宋体"/>
          <w:color w:val="auto"/>
          <w:sz w:val="24"/>
          <w:szCs w:val="24"/>
        </w:rPr>
      </w:pPr>
      <w:r>
        <w:rPr>
          <w:rFonts w:hint="eastAsia" w:ascii="宋体" w:hAnsi="宋体" w:eastAsia="宋体"/>
          <w:color w:val="auto"/>
          <w:sz w:val="24"/>
          <w:szCs w:val="24"/>
        </w:rPr>
        <w:t>招收初中毕业生或同等学历者，学制3年。</w:t>
      </w:r>
    </w:p>
    <w:p>
      <w:pPr>
        <w:spacing w:before="100" w:beforeAutospacing="1" w:after="100" w:afterAutospacing="1"/>
        <w:rPr>
          <w:rFonts w:ascii="宋体" w:hAnsi="宋体" w:eastAsia="宋体"/>
          <w:b/>
          <w:bCs/>
          <w:color w:val="auto"/>
          <w:sz w:val="30"/>
          <w:szCs w:val="30"/>
        </w:rPr>
      </w:pPr>
      <w:r>
        <w:rPr>
          <w:rFonts w:hint="eastAsia" w:ascii="宋体" w:hAnsi="宋体" w:eastAsia="宋体"/>
          <w:b/>
          <w:bCs/>
          <w:color w:val="auto"/>
          <w:sz w:val="30"/>
          <w:szCs w:val="30"/>
        </w:rPr>
        <w:t>三、</w:t>
      </w:r>
      <w:r>
        <w:rPr>
          <w:rFonts w:ascii="宋体" w:hAnsi="宋体" w:eastAsia="宋体"/>
          <w:b/>
          <w:bCs/>
          <w:color w:val="auto"/>
          <w:sz w:val="30"/>
          <w:szCs w:val="30"/>
        </w:rPr>
        <w:t>修业年限</w:t>
      </w:r>
    </w:p>
    <w:p>
      <w:pPr>
        <w:pStyle w:val="29"/>
        <w:spacing w:before="100" w:beforeAutospacing="1" w:after="100" w:afterAutospacing="1"/>
        <w:ind w:left="720" w:firstLine="0" w:firstLineChars="0"/>
        <w:rPr>
          <w:rFonts w:ascii="宋体" w:hAnsi="宋体" w:eastAsia="宋体"/>
          <w:color w:val="auto"/>
          <w:sz w:val="24"/>
          <w:szCs w:val="24"/>
        </w:rPr>
      </w:pPr>
      <w:r>
        <w:rPr>
          <w:rFonts w:hint="eastAsia" w:ascii="宋体" w:hAnsi="宋体" w:eastAsia="宋体"/>
          <w:color w:val="auto"/>
          <w:sz w:val="24"/>
          <w:szCs w:val="24"/>
        </w:rPr>
        <w:t>修业</w:t>
      </w:r>
      <w:r>
        <w:rPr>
          <w:rFonts w:ascii="宋体" w:hAnsi="宋体" w:eastAsia="宋体"/>
          <w:color w:val="auto"/>
          <w:sz w:val="24"/>
          <w:szCs w:val="24"/>
        </w:rPr>
        <w:t>年限为三年</w:t>
      </w:r>
    </w:p>
    <w:p>
      <w:pPr>
        <w:spacing w:before="100" w:beforeAutospacing="1" w:after="100" w:afterAutospacing="1"/>
        <w:rPr>
          <w:rFonts w:ascii="宋体" w:hAnsi="宋体" w:eastAsia="宋体"/>
          <w:b/>
          <w:bCs/>
          <w:color w:val="auto"/>
          <w:sz w:val="30"/>
          <w:szCs w:val="30"/>
        </w:rPr>
      </w:pPr>
      <w:r>
        <w:rPr>
          <w:rFonts w:hint="eastAsia" w:ascii="宋体" w:hAnsi="宋体" w:eastAsia="宋体"/>
          <w:b/>
          <w:bCs/>
          <w:color w:val="auto"/>
          <w:sz w:val="30"/>
          <w:szCs w:val="30"/>
        </w:rPr>
        <w:t>四、</w:t>
      </w:r>
      <w:r>
        <w:rPr>
          <w:rFonts w:ascii="宋体" w:hAnsi="宋体" w:eastAsia="宋体"/>
          <w:b/>
          <w:bCs/>
          <w:color w:val="auto"/>
          <w:sz w:val="30"/>
          <w:szCs w:val="30"/>
        </w:rPr>
        <w:t>职业面向</w:t>
      </w:r>
    </w:p>
    <w:p>
      <w:pPr>
        <w:adjustRightInd w:val="0"/>
        <w:snapToGrid w:val="0"/>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化学工艺</w:t>
      </w:r>
      <w:r>
        <w:rPr>
          <w:rFonts w:ascii="宋体" w:hAnsi="宋体" w:eastAsia="宋体"/>
          <w:color w:val="auto"/>
          <w:sz w:val="24"/>
        </w:rPr>
        <w:t>专业职业岗位（群）定位于化工生产一线的化工工艺操作、工艺控制、设备操作维护、产品质量检验等工作</w:t>
      </w:r>
      <w:r>
        <w:rPr>
          <w:rFonts w:hint="eastAsia" w:ascii="宋体" w:hAnsi="宋体" w:eastAsia="宋体"/>
          <w:color w:val="auto"/>
          <w:sz w:val="24"/>
        </w:rPr>
        <w:t>，</w:t>
      </w:r>
      <w:r>
        <w:rPr>
          <w:rFonts w:ascii="宋体" w:hAnsi="宋体" w:eastAsia="宋体"/>
          <w:color w:val="auto"/>
          <w:sz w:val="24"/>
        </w:rPr>
        <w:t>见表1。</w:t>
      </w:r>
    </w:p>
    <w:p>
      <w:pPr>
        <w:adjustRightInd w:val="0"/>
        <w:snapToGrid w:val="0"/>
        <w:spacing w:before="100" w:beforeAutospacing="1" w:after="100" w:afterAutospacing="1"/>
        <w:ind w:firstLine="480" w:firstLineChars="200"/>
        <w:rPr>
          <w:rFonts w:ascii="宋体" w:hAnsi="宋体" w:eastAsia="宋体"/>
          <w:color w:val="auto"/>
          <w:sz w:val="24"/>
        </w:rPr>
      </w:pPr>
    </w:p>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b/>
          <w:color w:val="auto"/>
          <w:sz w:val="24"/>
        </w:rPr>
        <w:t>表1 化学工艺专业学生就业岗位（群）一览表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1"/>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07" w:type="pct"/>
            <w:shd w:val="clear" w:color="auto" w:fill="FFFFFF" w:themeFill="background1"/>
            <w:vAlign w:val="center"/>
          </w:tcPr>
          <w:p>
            <w:pPr>
              <w:adjustRightInd w:val="0"/>
              <w:snapToGrid w:val="0"/>
              <w:spacing w:before="100" w:beforeAutospacing="1" w:after="100" w:afterAutospacing="1"/>
              <w:jc w:val="center"/>
              <w:rPr>
                <w:rFonts w:ascii="宋体" w:hAnsi="宋体" w:eastAsia="宋体"/>
                <w:b/>
                <w:color w:val="auto"/>
                <w:sz w:val="24"/>
              </w:rPr>
            </w:pPr>
            <w:r>
              <w:rPr>
                <w:rFonts w:ascii="宋体" w:hAnsi="宋体" w:eastAsia="宋体"/>
                <w:b/>
                <w:color w:val="auto"/>
                <w:sz w:val="24"/>
              </w:rPr>
              <w:t>职业范围</w:t>
            </w:r>
          </w:p>
        </w:tc>
        <w:tc>
          <w:tcPr>
            <w:tcW w:w="3192" w:type="pct"/>
            <w:shd w:val="clear" w:color="auto" w:fill="FFFFFF" w:themeFill="background1"/>
            <w:vAlign w:val="center"/>
          </w:tcPr>
          <w:p>
            <w:pPr>
              <w:adjustRightInd w:val="0"/>
              <w:snapToGrid w:val="0"/>
              <w:spacing w:before="100" w:beforeAutospacing="1" w:after="100" w:afterAutospacing="1"/>
              <w:jc w:val="center"/>
              <w:rPr>
                <w:rFonts w:ascii="宋体" w:hAnsi="宋体" w:eastAsia="宋体"/>
                <w:b/>
                <w:color w:val="auto"/>
                <w:sz w:val="24"/>
              </w:rPr>
            </w:pPr>
            <w:r>
              <w:rPr>
                <w:rFonts w:ascii="宋体" w:hAnsi="宋体" w:eastAsia="宋体"/>
                <w:b/>
                <w:color w:val="auto"/>
                <w:sz w:val="24"/>
              </w:rPr>
              <w:t>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pct"/>
            <w:vMerge w:val="restar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工艺操作与控制</w:t>
            </w:r>
          </w:p>
        </w:tc>
        <w:tc>
          <w:tcPr>
            <w:tcW w:w="3192"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工艺操作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07" w:type="pct"/>
            <w:vMerge w:val="continue"/>
            <w:vAlign w:val="center"/>
          </w:tcPr>
          <w:p>
            <w:pPr>
              <w:adjustRightInd w:val="0"/>
              <w:snapToGrid w:val="0"/>
              <w:spacing w:before="100" w:beforeAutospacing="1" w:after="100" w:afterAutospacing="1"/>
              <w:jc w:val="center"/>
              <w:rPr>
                <w:rFonts w:ascii="宋体" w:hAnsi="宋体" w:eastAsia="宋体"/>
                <w:color w:val="auto"/>
                <w:sz w:val="24"/>
              </w:rPr>
            </w:pPr>
          </w:p>
        </w:tc>
        <w:tc>
          <w:tcPr>
            <w:tcW w:w="3192"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工艺控制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pct"/>
            <w:vMerge w:val="continue"/>
            <w:vAlign w:val="center"/>
          </w:tcPr>
          <w:p>
            <w:pPr>
              <w:adjustRightInd w:val="0"/>
              <w:snapToGrid w:val="0"/>
              <w:spacing w:before="100" w:beforeAutospacing="1" w:after="100" w:afterAutospacing="1"/>
              <w:jc w:val="center"/>
              <w:rPr>
                <w:rFonts w:ascii="宋体" w:hAnsi="宋体" w:eastAsia="宋体"/>
                <w:b/>
                <w:bCs/>
                <w:color w:val="auto"/>
                <w:sz w:val="24"/>
              </w:rPr>
            </w:pPr>
          </w:p>
        </w:tc>
        <w:tc>
          <w:tcPr>
            <w:tcW w:w="3192"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化工仪表使用与维护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pct"/>
            <w:vAlign w:val="center"/>
          </w:tcPr>
          <w:p>
            <w:pPr>
              <w:adjustRightInd w:val="0"/>
              <w:snapToGrid w:val="0"/>
              <w:spacing w:before="100" w:beforeAutospacing="1" w:after="100" w:afterAutospacing="1"/>
              <w:jc w:val="center"/>
              <w:rPr>
                <w:rFonts w:ascii="宋体" w:hAnsi="宋体" w:eastAsia="宋体"/>
                <w:b/>
                <w:bCs/>
                <w:color w:val="auto"/>
                <w:sz w:val="24"/>
              </w:rPr>
            </w:pPr>
            <w:r>
              <w:rPr>
                <w:rFonts w:ascii="宋体" w:hAnsi="宋体" w:eastAsia="宋体"/>
                <w:color w:val="auto"/>
                <w:sz w:val="24"/>
              </w:rPr>
              <w:t>设备岗位</w:t>
            </w:r>
          </w:p>
        </w:tc>
        <w:tc>
          <w:tcPr>
            <w:tcW w:w="3192"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化工设备使用与维护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分析检验岗位</w:t>
            </w:r>
          </w:p>
        </w:tc>
        <w:tc>
          <w:tcPr>
            <w:tcW w:w="3192"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原料、中间体、粗产品、产品的分析与检验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pct"/>
            <w:vMerge w:val="restar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营销岗位</w:t>
            </w:r>
          </w:p>
        </w:tc>
        <w:tc>
          <w:tcPr>
            <w:tcW w:w="3192"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市场调研与开发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pct"/>
            <w:vMerge w:val="continue"/>
            <w:vAlign w:val="center"/>
          </w:tcPr>
          <w:p>
            <w:pPr>
              <w:adjustRightInd w:val="0"/>
              <w:snapToGrid w:val="0"/>
              <w:spacing w:before="100" w:beforeAutospacing="1" w:after="100" w:afterAutospacing="1"/>
              <w:jc w:val="center"/>
              <w:rPr>
                <w:rFonts w:ascii="宋体" w:hAnsi="宋体" w:eastAsia="宋体"/>
                <w:color w:val="auto"/>
                <w:sz w:val="24"/>
              </w:rPr>
            </w:pPr>
          </w:p>
        </w:tc>
        <w:tc>
          <w:tcPr>
            <w:tcW w:w="3192" w:type="pct"/>
            <w:vAlign w:val="center"/>
          </w:tcPr>
          <w:p>
            <w:pPr>
              <w:adjustRightInd w:val="0"/>
              <w:snapToGrid w:val="0"/>
              <w:spacing w:before="100" w:beforeAutospacing="1" w:after="100" w:afterAutospacing="1"/>
              <w:jc w:val="center"/>
              <w:rPr>
                <w:rFonts w:ascii="宋体" w:hAnsi="宋体" w:eastAsia="宋体"/>
                <w:color w:val="auto"/>
                <w:sz w:val="24"/>
              </w:rPr>
            </w:pPr>
            <w:r>
              <w:rPr>
                <w:rFonts w:ascii="宋体" w:hAnsi="宋体" w:eastAsia="宋体"/>
                <w:color w:val="auto"/>
                <w:sz w:val="24"/>
              </w:rPr>
              <w:t>化学品销售</w:t>
            </w:r>
          </w:p>
        </w:tc>
      </w:tr>
    </w:tbl>
    <w:p>
      <w:pPr>
        <w:rPr>
          <w:color w:val="auto"/>
        </w:rPr>
      </w:pPr>
    </w:p>
    <w:p>
      <w:pPr>
        <w:spacing w:before="100" w:beforeAutospacing="1" w:after="100" w:afterAutospacing="1"/>
        <w:ind w:firstLine="1928" w:firstLineChars="8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表 2 化学工艺专业岗位职责分类表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803"/>
        <w:gridCol w:w="3449"/>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05"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岗位（群）</w:t>
            </w:r>
          </w:p>
        </w:tc>
        <w:tc>
          <w:tcPr>
            <w:tcW w:w="173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典型工作任务</w:t>
            </w:r>
          </w:p>
        </w:tc>
        <w:tc>
          <w:tcPr>
            <w:tcW w:w="1863"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一</w:t>
            </w:r>
          </w:p>
        </w:tc>
        <w:tc>
          <w:tcPr>
            <w:tcW w:w="905"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企业的化验员</w:t>
            </w:r>
          </w:p>
        </w:tc>
        <w:tc>
          <w:tcPr>
            <w:tcW w:w="173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能对企业生产过程中的原料、中间产品及成品按照相关标准进行分析检验</w:t>
            </w:r>
          </w:p>
        </w:tc>
        <w:tc>
          <w:tcPr>
            <w:tcW w:w="1863"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能根据工作要求，熟练进行各种分析操作，并得出准确结果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二</w:t>
            </w:r>
          </w:p>
        </w:tc>
        <w:tc>
          <w:tcPr>
            <w:tcW w:w="905"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教学单位的实验员</w:t>
            </w:r>
          </w:p>
        </w:tc>
        <w:tc>
          <w:tcPr>
            <w:tcW w:w="173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能管理和维护化学实验仪器，配制相应化学试剂，协助教师指导学生实验</w:t>
            </w:r>
          </w:p>
        </w:tc>
        <w:tc>
          <w:tcPr>
            <w:tcW w:w="1863"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熟悉常用试剂的配制，掌握化学基本知识，能熟练操作各种常用仪器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三</w:t>
            </w:r>
          </w:p>
        </w:tc>
        <w:tc>
          <w:tcPr>
            <w:tcW w:w="905"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产品质量检测部门的质检员</w:t>
            </w:r>
          </w:p>
        </w:tc>
        <w:tc>
          <w:tcPr>
            <w:tcW w:w="1731"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能根据相关标准进行样品的质量检测</w:t>
            </w:r>
          </w:p>
        </w:tc>
        <w:tc>
          <w:tcPr>
            <w:tcW w:w="1863" w:type="pct"/>
            <w:vAlign w:val="center"/>
          </w:tcPr>
          <w:p>
            <w:pPr>
              <w:spacing w:before="100" w:beforeAutospacing="1" w:after="100" w:afterAutospacing="1"/>
              <w:rPr>
                <w:rFonts w:ascii="宋体" w:hAnsi="宋体" w:eastAsia="宋体" w:cs="宋体"/>
                <w:color w:val="auto"/>
                <w:sz w:val="24"/>
                <w:szCs w:val="24"/>
              </w:rPr>
            </w:pPr>
            <w:r>
              <w:rPr>
                <w:rFonts w:hint="eastAsia" w:ascii="宋体" w:hAnsi="宋体" w:eastAsia="宋体" w:cs="宋体"/>
                <w:color w:val="auto"/>
                <w:sz w:val="24"/>
                <w:szCs w:val="24"/>
              </w:rPr>
              <w:t>熟练掌握各种分析检测方法</w:t>
            </w:r>
          </w:p>
        </w:tc>
      </w:tr>
    </w:tbl>
    <w:p>
      <w:pPr>
        <w:adjustRightInd w:val="0"/>
        <w:snapToGrid w:val="0"/>
        <w:spacing w:before="100" w:beforeAutospacing="1" w:after="100" w:afterAutospacing="1"/>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注：每个专门化方向可根据区域经济发展对人才需求的不同，任选一个工种，获取职业资格或职业技能等级证书。</w:t>
      </w:r>
    </w:p>
    <w:p>
      <w:pPr>
        <w:adjustRightInd w:val="0"/>
        <w:snapToGrid w:val="0"/>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职业资格证书：化工总控</w:t>
      </w:r>
      <w:r>
        <w:rPr>
          <w:rFonts w:ascii="宋体" w:hAnsi="宋体" w:eastAsia="宋体"/>
          <w:color w:val="auto"/>
          <w:sz w:val="24"/>
        </w:rPr>
        <w:t>工</w:t>
      </w:r>
      <w:r>
        <w:rPr>
          <w:rFonts w:hint="eastAsia" w:ascii="宋体" w:hAnsi="宋体" w:eastAsia="宋体"/>
          <w:color w:val="auto"/>
          <w:sz w:val="24"/>
        </w:rPr>
        <w:t>（初级）、化学检验工（初级）</w:t>
      </w:r>
      <w:r>
        <w:rPr>
          <w:rFonts w:ascii="宋体" w:hAnsi="宋体" w:eastAsia="宋体"/>
          <w:color w:val="auto"/>
          <w:sz w:val="24"/>
        </w:rPr>
        <w:t>职业资格证书</w:t>
      </w:r>
      <w:r>
        <w:rPr>
          <w:rFonts w:hint="eastAsia" w:ascii="宋体" w:hAnsi="宋体" w:eastAsia="宋体"/>
          <w:color w:val="auto"/>
          <w:sz w:val="24"/>
        </w:rPr>
        <w:t>。</w:t>
      </w:r>
    </w:p>
    <w:p>
      <w:pPr>
        <w:spacing w:before="100" w:beforeAutospacing="1" w:after="100" w:afterAutospacing="1"/>
        <w:rPr>
          <w:rFonts w:ascii="宋体" w:hAnsi="宋体" w:eastAsia="宋体"/>
          <w:b/>
          <w:bCs/>
          <w:color w:val="auto"/>
          <w:sz w:val="30"/>
          <w:szCs w:val="30"/>
        </w:rPr>
      </w:pPr>
      <w:r>
        <w:rPr>
          <w:rFonts w:hint="eastAsia" w:ascii="宋体" w:hAnsi="宋体" w:eastAsia="宋体"/>
          <w:b/>
          <w:bCs/>
          <w:color w:val="auto"/>
          <w:sz w:val="30"/>
          <w:szCs w:val="30"/>
        </w:rPr>
        <w:t>五、</w:t>
      </w:r>
      <w:r>
        <w:rPr>
          <w:rFonts w:ascii="宋体" w:hAnsi="宋体" w:eastAsia="宋体"/>
          <w:b/>
          <w:bCs/>
          <w:color w:val="auto"/>
          <w:sz w:val="30"/>
          <w:szCs w:val="30"/>
        </w:rPr>
        <w:t>培养目标与培养规格</w:t>
      </w:r>
    </w:p>
    <w:p>
      <w:pPr>
        <w:spacing w:before="100" w:beforeAutospacing="1" w:after="100" w:afterAutospacing="1"/>
        <w:rPr>
          <w:rFonts w:ascii="宋体" w:hAnsi="宋体" w:eastAsia="宋体"/>
          <w:b/>
          <w:bCs/>
          <w:color w:val="auto"/>
          <w:sz w:val="30"/>
          <w:szCs w:val="30"/>
        </w:rPr>
      </w:pPr>
      <w:r>
        <w:rPr>
          <w:rFonts w:hint="eastAsia" w:ascii="宋体" w:hAnsi="宋体" w:eastAsia="宋体"/>
          <w:b/>
          <w:bCs/>
          <w:color w:val="auto"/>
          <w:sz w:val="30"/>
          <w:szCs w:val="30"/>
        </w:rPr>
        <w:t>（一）培养目标</w:t>
      </w:r>
    </w:p>
    <w:p>
      <w:pPr>
        <w:spacing w:before="100" w:beforeAutospacing="1" w:after="100" w:afterAutospacing="1"/>
        <w:ind w:firstLine="480" w:firstLineChars="200"/>
        <w:rPr>
          <w:rFonts w:ascii="宋体" w:hAnsi="宋体" w:eastAsia="宋体" w:cstheme="minorEastAsia"/>
          <w:color w:val="auto"/>
          <w:sz w:val="24"/>
          <w:szCs w:val="24"/>
        </w:rPr>
      </w:pPr>
      <w:r>
        <w:rPr>
          <w:rFonts w:hint="eastAsia" w:ascii="宋体" w:hAnsi="宋体" w:eastAsia="宋体" w:cstheme="minorEastAsia"/>
          <w:color w:val="auto"/>
          <w:sz w:val="24"/>
          <w:szCs w:val="24"/>
        </w:rPr>
        <w:t>依据国家有关规定、公共基础课程标准和专业教学标准，结合学校办学层次和办学定位，科学合理确定专业培养目标，明确学生的知识、能力和素质要求，保证培养规格。本校注重学用相长、知行合一，着力培养学生的创新精神和实践能力，增强学生的职业适应能力和可持续发展能力。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pPr>
        <w:spacing w:before="100" w:beforeAutospacing="1" w:after="100" w:afterAutospacing="1"/>
        <w:ind w:firstLine="480" w:firstLineChars="200"/>
        <w:rPr>
          <w:rFonts w:ascii="宋体" w:hAnsi="宋体" w:eastAsia="宋体" w:cstheme="minorEastAsia"/>
          <w:color w:val="auto"/>
          <w:sz w:val="24"/>
          <w:szCs w:val="24"/>
        </w:rPr>
      </w:pPr>
      <w:r>
        <w:rPr>
          <w:rFonts w:hint="eastAsia" w:ascii="宋体" w:hAnsi="宋体" w:eastAsia="宋体" w:cstheme="minorEastAsia"/>
          <w:color w:val="auto"/>
          <w:sz w:val="24"/>
          <w:szCs w:val="24"/>
        </w:rPr>
        <w:t>按照校企一体、工学结合的原则，以化学工艺职业岗位工作为导向，根据岗位对人才知识、技能和素质要求，制订本专业的人才培养目标：主要培养面向从事化工产品生产一线的工艺操作、工艺控制、设备操作维护、产品质量检验等岗位的工作；部分学生可以通过对口高考、单独招生等方式进入高职阶段学习。同时具备良好职业道德素质，能独立学习与职业相关的新技术、新知识，对社会、企业和客户有强烈责任意识，具有职业生涯发展基础的应用型高技能专门人才。</w:t>
      </w:r>
    </w:p>
    <w:p>
      <w:pPr>
        <w:spacing w:before="100" w:beforeAutospacing="1" w:after="100" w:afterAutospacing="1"/>
        <w:rPr>
          <w:rFonts w:ascii="宋体" w:hAnsi="宋体" w:eastAsia="宋体"/>
          <w:b/>
          <w:bCs/>
          <w:color w:val="auto"/>
          <w:sz w:val="30"/>
          <w:szCs w:val="30"/>
        </w:rPr>
      </w:pPr>
      <w:r>
        <w:rPr>
          <w:rFonts w:hint="eastAsia" w:ascii="宋体" w:hAnsi="宋体" w:eastAsia="宋体"/>
          <w:b/>
          <w:bCs/>
          <w:color w:val="auto"/>
          <w:sz w:val="30"/>
          <w:szCs w:val="30"/>
        </w:rPr>
        <w:t>（二）培养规格</w:t>
      </w:r>
    </w:p>
    <w:p>
      <w:pPr>
        <w:spacing w:before="100" w:beforeAutospacing="1" w:after="100" w:afterAutospacing="1"/>
        <w:ind w:firstLine="573"/>
        <w:rPr>
          <w:rFonts w:ascii="宋体" w:hAnsi="宋体" w:eastAsia="宋体"/>
          <w:color w:val="auto"/>
          <w:sz w:val="24"/>
        </w:rPr>
      </w:pPr>
      <w:r>
        <w:rPr>
          <w:rFonts w:hint="eastAsia" w:ascii="宋体" w:hAnsi="宋体" w:eastAsia="宋体"/>
          <w:color w:val="auto"/>
          <w:sz w:val="24"/>
        </w:rPr>
        <w:t>本专业所培养的人才应具有以下素质目标、知识目标和能力目标：</w:t>
      </w:r>
      <w:bookmarkStart w:id="0" w:name="_Toc15506"/>
      <w:bookmarkStart w:id="1" w:name="_Toc19011"/>
      <w:bookmarkStart w:id="2" w:name="_Toc11779"/>
      <w:bookmarkStart w:id="3" w:name="_Toc7960"/>
      <w:bookmarkStart w:id="4" w:name="_Toc4650"/>
      <w:bookmarkStart w:id="5" w:name="_Toc20933"/>
      <w:bookmarkStart w:id="6" w:name="_Toc4974"/>
    </w:p>
    <w:p>
      <w:pPr>
        <w:spacing w:before="100" w:beforeAutospacing="1" w:after="100" w:afterAutospacing="1"/>
        <w:rPr>
          <w:rFonts w:ascii="宋体" w:hAnsi="宋体" w:eastAsia="宋体"/>
          <w:b/>
          <w:bCs/>
          <w:color w:val="auto"/>
          <w:sz w:val="24"/>
        </w:rPr>
      </w:pPr>
      <w:r>
        <w:rPr>
          <w:rFonts w:hint="eastAsia" w:ascii="宋体" w:hAnsi="宋体" w:eastAsia="宋体"/>
          <w:b/>
          <w:bCs/>
          <w:color w:val="auto"/>
          <w:sz w:val="24"/>
        </w:rPr>
        <w:t>（1）素质目标：</w:t>
      </w:r>
      <w:bookmarkEnd w:id="0"/>
      <w:bookmarkEnd w:id="1"/>
      <w:bookmarkEnd w:id="2"/>
      <w:bookmarkEnd w:id="3"/>
      <w:bookmarkEnd w:id="4"/>
      <w:bookmarkEnd w:id="5"/>
      <w:bookmarkEnd w:id="6"/>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●具有良好的职业道德，能自觉遵守行业法规、规范和企业规章制度。</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●具有良好的沟通能力、表达能力和团队协作精神。</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●具有安全生产、清洁生产和节能环保的意识和行为。</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●具有一定的获取和处理信息的能力。</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●具有国际上通用的化工企业“责任关怀”文化准则和“合规”、“全球契约”等企业行业规范理念</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●具有正确的世界观、人生观、价值观。坚决拥护中国共产党领导，树立中国特色社会主义共同理想，践行社会主义核心价值观。</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●具有深厚的爱国情感、国家认同感、中华民族自豪感；崇尚宪法、遵守法律、遵规守纪；具有社会责任感和参与意识。</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●具有良好的职业道德和职业素养。崇德向善、诚实守信、爱岗敬业。</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●具有精益求精的工匠精神；尊重劳动、热爱劳动，具有较强的实践能力。</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●具有质量意识、绿色环保意识、安全意识、信息素养、创新精神。</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●具有良好的身心素质和人文素养。</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●具有健康的体魄和心理、健全的人格，能够掌握基本运动知识和一两项运动</w:t>
      </w:r>
    </w:p>
    <w:p>
      <w:pPr>
        <w:spacing w:before="100" w:beforeAutospacing="1" w:after="100" w:afterAutospacing="1"/>
        <w:ind w:firstLine="240" w:firstLineChars="100"/>
        <w:rPr>
          <w:rFonts w:ascii="宋体" w:hAnsi="宋体" w:eastAsia="宋体"/>
          <w:color w:val="auto"/>
          <w:sz w:val="24"/>
        </w:rPr>
      </w:pPr>
      <w:r>
        <w:rPr>
          <w:rFonts w:hint="eastAsia" w:ascii="宋体" w:hAnsi="宋体" w:eastAsia="宋体"/>
          <w:color w:val="auto"/>
          <w:sz w:val="24"/>
        </w:rPr>
        <w:t>技能。</w:t>
      </w:r>
    </w:p>
    <w:p>
      <w:pPr>
        <w:spacing w:before="100" w:beforeAutospacing="1" w:after="100" w:afterAutospacing="1"/>
        <w:outlineLvl w:val="1"/>
        <w:rPr>
          <w:rFonts w:ascii="宋体" w:hAnsi="宋体" w:eastAsia="宋体"/>
          <w:color w:val="auto"/>
          <w:sz w:val="24"/>
        </w:rPr>
      </w:pPr>
      <w:bookmarkStart w:id="7" w:name="_Toc2620"/>
      <w:bookmarkStart w:id="8" w:name="_Toc29063"/>
      <w:bookmarkStart w:id="9" w:name="_Toc8015"/>
      <w:bookmarkStart w:id="10" w:name="_Toc21350"/>
      <w:bookmarkStart w:id="11" w:name="_Toc13546"/>
      <w:bookmarkStart w:id="12" w:name="_Toc8451"/>
      <w:bookmarkStart w:id="13" w:name="_Toc10344"/>
      <w:r>
        <w:rPr>
          <w:rFonts w:hint="eastAsia" w:ascii="宋体" w:hAnsi="宋体" w:eastAsia="宋体"/>
          <w:color w:val="auto"/>
          <w:sz w:val="24"/>
        </w:rPr>
        <w:t>（2）知识目标</w:t>
      </w:r>
      <w:bookmarkEnd w:id="7"/>
      <w:bookmarkEnd w:id="8"/>
      <w:bookmarkEnd w:id="9"/>
      <w:bookmarkEnd w:id="10"/>
      <w:bookmarkEnd w:id="11"/>
      <w:bookmarkEnd w:id="12"/>
      <w:bookmarkEnd w:id="13"/>
    </w:p>
    <w:p>
      <w:pPr>
        <w:spacing w:before="100" w:beforeAutospacing="1" w:after="100" w:afterAutospacing="1"/>
        <w:rPr>
          <w:rFonts w:ascii="宋体" w:hAnsi="宋体" w:eastAsia="宋体"/>
          <w:color w:val="auto"/>
          <w:sz w:val="24"/>
        </w:rPr>
      </w:pPr>
      <w:r>
        <w:rPr>
          <w:rFonts w:hint="eastAsia" w:ascii="宋体" w:hAnsi="宋体" w:eastAsia="宋体"/>
          <w:color w:val="auto"/>
          <w:sz w:val="24"/>
        </w:rPr>
        <w:t>● 本专业所必需的高中数学、高中英语等文化基础课知识；</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●熟悉本专业必须的化工生产专业知识</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●能识读工艺流程图、设备图、管道图等相关图样。</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●熟悉并能应用化工生产中的检测仪表与自动控制系统。</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●熟悉并能使用和维护化工装备。</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●能掌握典型化工单元的基本操作技能。</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●能完成化工生产装置的开停车及运行操作</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●具有正确判断、处理化工生产运行中一般故障的能力。</w:t>
      </w:r>
    </w:p>
    <w:p>
      <w:pPr>
        <w:tabs>
          <w:tab w:val="left" w:pos="142"/>
        </w:tabs>
        <w:spacing w:before="100" w:beforeAutospacing="1" w:after="100" w:afterAutospacing="1"/>
        <w:jc w:val="left"/>
        <w:rPr>
          <w:rFonts w:ascii="宋体" w:hAnsi="宋体" w:eastAsia="宋体"/>
          <w:color w:val="auto"/>
          <w:sz w:val="24"/>
        </w:rPr>
      </w:pPr>
      <w:r>
        <w:rPr>
          <w:rFonts w:hint="eastAsia" w:ascii="宋体" w:hAnsi="宋体" w:eastAsia="宋体"/>
          <w:color w:val="auto"/>
          <w:sz w:val="24"/>
        </w:rPr>
        <w:t>●能在化工生产中实施QHSE及清洁生产。</w:t>
      </w:r>
    </w:p>
    <w:p>
      <w:pPr>
        <w:pStyle w:val="18"/>
        <w:shd w:val="clear" w:color="auto" w:fill="FFFFFF"/>
        <w:ind w:right="300"/>
        <w:jc w:val="both"/>
        <w:rPr>
          <w:color w:val="auto"/>
        </w:rPr>
      </w:pPr>
      <w:r>
        <w:rPr>
          <w:rFonts w:hint="eastAsia"/>
          <w:color w:val="auto"/>
        </w:rPr>
        <w:t>●掌握化工单元操作基本理论知识。</w:t>
      </w:r>
    </w:p>
    <w:p>
      <w:pPr>
        <w:pStyle w:val="18"/>
        <w:shd w:val="clear" w:color="auto" w:fill="FFFFFF"/>
        <w:ind w:right="300"/>
        <w:jc w:val="both"/>
        <w:rPr>
          <w:color w:val="auto"/>
        </w:rPr>
      </w:pPr>
      <w:r>
        <w:rPr>
          <w:rFonts w:hint="eastAsia"/>
          <w:color w:val="auto"/>
        </w:rPr>
        <w:t>●掌握化工分析基本理论知识。</w:t>
      </w:r>
    </w:p>
    <w:p>
      <w:pPr>
        <w:pStyle w:val="18"/>
        <w:shd w:val="clear" w:color="auto" w:fill="FFFFFF"/>
        <w:ind w:right="300"/>
        <w:jc w:val="both"/>
        <w:rPr>
          <w:color w:val="auto"/>
        </w:rPr>
      </w:pPr>
      <w:r>
        <w:rPr>
          <w:rFonts w:hint="eastAsia"/>
          <w:color w:val="auto"/>
        </w:rPr>
        <w:t>●掌握烧碱生产与工艺基本理论知识。</w:t>
      </w:r>
    </w:p>
    <w:p>
      <w:pPr>
        <w:pStyle w:val="18"/>
        <w:shd w:val="clear" w:color="auto" w:fill="FFFFFF"/>
        <w:ind w:right="300"/>
        <w:jc w:val="both"/>
        <w:rPr>
          <w:color w:val="auto"/>
        </w:rPr>
      </w:pPr>
      <w:r>
        <w:rPr>
          <w:rFonts w:hint="eastAsia"/>
          <w:color w:val="auto"/>
        </w:rPr>
        <w:t>●取得化工总控</w:t>
      </w:r>
      <w:r>
        <w:rPr>
          <w:color w:val="auto"/>
        </w:rPr>
        <w:t>工</w:t>
      </w:r>
      <w:r>
        <w:rPr>
          <w:rFonts w:hint="eastAsia"/>
          <w:color w:val="auto"/>
        </w:rPr>
        <w:t>（初级）、化学检验工（初级）</w:t>
      </w:r>
      <w:r>
        <w:rPr>
          <w:color w:val="auto"/>
        </w:rPr>
        <w:t>职业资格证书</w:t>
      </w:r>
    </w:p>
    <w:p>
      <w:pPr>
        <w:pStyle w:val="18"/>
        <w:numPr>
          <w:ilvl w:val="0"/>
          <w:numId w:val="2"/>
        </w:numPr>
        <w:shd w:val="clear" w:color="auto" w:fill="FFFFFF"/>
        <w:ind w:right="300"/>
        <w:jc w:val="both"/>
        <w:rPr>
          <w:b/>
          <w:bCs/>
          <w:color w:val="auto"/>
        </w:rPr>
      </w:pPr>
      <w:bookmarkStart w:id="14" w:name="_Toc24975"/>
      <w:bookmarkStart w:id="15" w:name="_Toc240"/>
      <w:bookmarkStart w:id="16" w:name="_Toc7050"/>
      <w:bookmarkStart w:id="17" w:name="_Toc11564"/>
      <w:bookmarkStart w:id="18" w:name="_Toc15177"/>
      <w:bookmarkStart w:id="19" w:name="_Toc27007"/>
      <w:bookmarkStart w:id="20" w:name="_Toc31702"/>
      <w:r>
        <w:rPr>
          <w:rFonts w:hint="eastAsia"/>
          <w:b/>
          <w:bCs/>
          <w:color w:val="auto"/>
        </w:rPr>
        <w:t>能力目标：</w:t>
      </w:r>
      <w:bookmarkEnd w:id="14"/>
      <w:bookmarkEnd w:id="15"/>
      <w:bookmarkEnd w:id="16"/>
      <w:bookmarkEnd w:id="17"/>
      <w:bookmarkEnd w:id="18"/>
      <w:bookmarkEnd w:id="19"/>
      <w:bookmarkEnd w:id="20"/>
    </w:p>
    <w:p>
      <w:pPr>
        <w:pStyle w:val="18"/>
        <w:shd w:val="clear" w:color="auto" w:fill="FFFFFF"/>
        <w:ind w:right="300"/>
        <w:jc w:val="both"/>
        <w:rPr>
          <w:color w:val="auto"/>
        </w:rPr>
      </w:pPr>
      <w:r>
        <w:rPr>
          <w:rFonts w:hint="eastAsia"/>
          <w:color w:val="auto"/>
        </w:rPr>
        <w:t>①、专业基础能力</w:t>
      </w:r>
    </w:p>
    <w:p>
      <w:pPr>
        <w:pStyle w:val="18"/>
        <w:shd w:val="clear" w:color="auto" w:fill="FFFFFF"/>
        <w:ind w:right="300"/>
        <w:jc w:val="both"/>
        <w:rPr>
          <w:color w:val="auto"/>
        </w:rPr>
      </w:pPr>
      <w:r>
        <w:rPr>
          <w:rFonts w:hint="eastAsia"/>
          <w:color w:val="auto"/>
        </w:rPr>
        <w:t>●掌握化工基础在本专业应用方面的基本能力。</w:t>
      </w:r>
    </w:p>
    <w:p>
      <w:pPr>
        <w:pStyle w:val="18"/>
        <w:shd w:val="clear" w:color="auto" w:fill="FFFFFF"/>
        <w:ind w:right="300"/>
        <w:jc w:val="both"/>
        <w:rPr>
          <w:color w:val="auto"/>
        </w:rPr>
      </w:pPr>
      <w:r>
        <w:rPr>
          <w:rFonts w:hint="eastAsia"/>
          <w:color w:val="auto"/>
        </w:rPr>
        <w:t>●掌握化工材料的选择、性能、使用、车间设备维护、修理、检测、技术管理及安全等有关理论知识。</w:t>
      </w:r>
    </w:p>
    <w:p>
      <w:pPr>
        <w:pStyle w:val="18"/>
        <w:shd w:val="clear" w:color="auto" w:fill="FFFFFF"/>
        <w:ind w:right="300"/>
        <w:jc w:val="both"/>
        <w:rPr>
          <w:color w:val="auto"/>
        </w:rPr>
      </w:pPr>
      <w:r>
        <w:rPr>
          <w:rFonts w:hint="eastAsia"/>
          <w:color w:val="auto"/>
        </w:rPr>
        <w:t>②、专业核心能力</w:t>
      </w:r>
    </w:p>
    <w:p>
      <w:pPr>
        <w:pStyle w:val="18"/>
        <w:shd w:val="clear" w:color="auto" w:fill="FFFFFF"/>
        <w:ind w:right="300"/>
        <w:jc w:val="both"/>
        <w:rPr>
          <w:color w:val="auto"/>
        </w:rPr>
      </w:pPr>
      <w:r>
        <w:rPr>
          <w:rFonts w:hint="eastAsia"/>
          <w:color w:val="auto"/>
        </w:rPr>
        <w:t>●具有读图、绘制简单零件图和零件检测的能力。</w:t>
      </w:r>
    </w:p>
    <w:p>
      <w:pPr>
        <w:pStyle w:val="18"/>
        <w:shd w:val="clear" w:color="auto" w:fill="FFFFFF"/>
        <w:ind w:right="300"/>
        <w:jc w:val="both"/>
        <w:rPr>
          <w:color w:val="auto"/>
        </w:rPr>
      </w:pPr>
      <w:r>
        <w:rPr>
          <w:rFonts w:hint="eastAsia"/>
          <w:color w:val="auto"/>
        </w:rPr>
        <w:t>●具有分析和解决本专业技术问题的基本能力。</w:t>
      </w:r>
    </w:p>
    <w:p>
      <w:pPr>
        <w:pStyle w:val="18"/>
        <w:shd w:val="clear" w:color="auto" w:fill="FFFFFF"/>
        <w:ind w:right="300"/>
        <w:jc w:val="both"/>
        <w:rPr>
          <w:color w:val="auto"/>
        </w:rPr>
      </w:pPr>
      <w:r>
        <w:rPr>
          <w:rFonts w:hint="eastAsia"/>
          <w:color w:val="auto"/>
        </w:rPr>
        <w:t>●具有化工专业相关技能，并考取化学检验工、化工总控工等级证。</w:t>
      </w:r>
    </w:p>
    <w:p>
      <w:pPr>
        <w:pStyle w:val="18"/>
        <w:shd w:val="clear" w:color="auto" w:fill="FFFFFF"/>
        <w:ind w:right="300"/>
        <w:jc w:val="both"/>
        <w:rPr>
          <w:color w:val="auto"/>
        </w:rPr>
      </w:pPr>
      <w:r>
        <w:rPr>
          <w:rFonts w:hint="eastAsia"/>
          <w:color w:val="auto"/>
        </w:rPr>
        <w:t>③、专业拓展能力</w:t>
      </w:r>
    </w:p>
    <w:p>
      <w:pPr>
        <w:pStyle w:val="18"/>
        <w:shd w:val="clear" w:color="auto" w:fill="FFFFFF"/>
        <w:ind w:right="300"/>
        <w:jc w:val="both"/>
        <w:rPr>
          <w:color w:val="auto"/>
        </w:rPr>
      </w:pPr>
      <w:r>
        <w:rPr>
          <w:rFonts w:hint="eastAsia"/>
          <w:color w:val="auto"/>
        </w:rPr>
        <w:t>●学习一门外语，借助工具书能阅读设备说明书及维修手册等一般专业外文技术资料。</w:t>
      </w:r>
    </w:p>
    <w:p>
      <w:pPr>
        <w:pStyle w:val="18"/>
        <w:shd w:val="clear" w:color="auto" w:fill="FFFFFF"/>
        <w:ind w:right="300"/>
        <w:jc w:val="both"/>
        <w:rPr>
          <w:color w:val="auto"/>
        </w:rPr>
      </w:pPr>
      <w:r>
        <w:rPr>
          <w:rFonts w:hint="eastAsia"/>
          <w:color w:val="auto"/>
        </w:rPr>
        <w:t>●具有初步的计算机操作能力。</w:t>
      </w:r>
    </w:p>
    <w:p>
      <w:pPr>
        <w:pStyle w:val="18"/>
        <w:shd w:val="clear" w:color="auto" w:fill="FFFFFF"/>
        <w:ind w:right="300"/>
        <w:jc w:val="both"/>
        <w:rPr>
          <w:color w:val="auto"/>
        </w:rPr>
      </w:pPr>
      <w:r>
        <w:rPr>
          <w:rFonts w:hint="eastAsia"/>
          <w:color w:val="auto"/>
        </w:rPr>
        <w:t xml:space="preserve">●具有一定的自学能力和获取信息的能力。 </w:t>
      </w:r>
    </w:p>
    <w:p>
      <w:pPr>
        <w:adjustRightInd w:val="0"/>
        <w:snapToGrid w:val="0"/>
        <w:spacing w:before="100" w:beforeAutospacing="1" w:after="100" w:afterAutospacing="1"/>
        <w:outlineLvl w:val="0"/>
        <w:rPr>
          <w:rFonts w:ascii="宋体" w:hAnsi="宋体" w:eastAsia="宋体"/>
          <w:b/>
          <w:bCs/>
          <w:color w:val="auto"/>
          <w:sz w:val="28"/>
          <w:szCs w:val="28"/>
        </w:rPr>
      </w:pPr>
      <w:bookmarkStart w:id="21" w:name="_Toc27114"/>
      <w:bookmarkStart w:id="22" w:name="_Toc27281"/>
      <w:bookmarkStart w:id="23" w:name="_Toc25491"/>
      <w:r>
        <w:rPr>
          <w:rFonts w:hint="eastAsia" w:ascii="宋体" w:hAnsi="宋体" w:eastAsia="宋体"/>
          <w:b/>
          <w:bCs/>
          <w:color w:val="auto"/>
          <w:sz w:val="28"/>
          <w:szCs w:val="28"/>
        </w:rPr>
        <w:t>（三）主要接续专业</w:t>
      </w:r>
      <w:bookmarkEnd w:id="21"/>
      <w:bookmarkEnd w:id="22"/>
      <w:bookmarkEnd w:id="23"/>
    </w:p>
    <w:p>
      <w:pPr>
        <w:pStyle w:val="18"/>
        <w:shd w:val="clear" w:color="auto" w:fill="FFFFFF"/>
        <w:ind w:right="300"/>
        <w:jc w:val="both"/>
        <w:rPr>
          <w:color w:val="auto"/>
        </w:rPr>
      </w:pPr>
      <w:r>
        <w:rPr>
          <w:rFonts w:hint="eastAsia"/>
          <w:color w:val="auto"/>
        </w:rPr>
        <w:t>应用化工技术、工业分析与检验、煤化工技术、煤炭清洁利用技术、石油化工技术、药品生产技术、精细化工技术。</w:t>
      </w:r>
    </w:p>
    <w:p>
      <w:pPr>
        <w:pStyle w:val="8"/>
        <w:adjustRightInd w:val="0"/>
        <w:snapToGrid w:val="0"/>
        <w:spacing w:before="100" w:beforeAutospacing="1" w:after="100" w:afterAutospacing="1"/>
        <w:ind w:firstLine="0" w:firstLineChars="0"/>
        <w:outlineLvl w:val="0"/>
        <w:rPr>
          <w:rFonts w:ascii="宋体" w:hAnsi="宋体"/>
          <w:b/>
          <w:bCs/>
          <w:color w:val="auto"/>
          <w:sz w:val="28"/>
          <w:szCs w:val="28"/>
        </w:rPr>
      </w:pPr>
      <w:bookmarkStart w:id="24" w:name="_Toc31274"/>
      <w:bookmarkStart w:id="25" w:name="_Toc24287"/>
      <w:bookmarkStart w:id="26" w:name="_Toc17651"/>
      <w:bookmarkStart w:id="27" w:name="_Toc17971"/>
      <w:bookmarkStart w:id="28" w:name="_Toc2522"/>
      <w:bookmarkStart w:id="29" w:name="_Toc8381"/>
      <w:bookmarkStart w:id="30" w:name="_Toc14628"/>
      <w:r>
        <w:rPr>
          <w:rFonts w:hint="eastAsia" w:ascii="宋体" w:hAnsi="宋体"/>
          <w:b/>
          <w:bCs/>
          <w:color w:val="auto"/>
          <w:sz w:val="28"/>
          <w:szCs w:val="28"/>
          <w:highlight w:val="lightGray"/>
        </w:rPr>
        <w:t>六</w:t>
      </w:r>
      <w:r>
        <w:rPr>
          <w:rFonts w:hint="eastAsia" w:ascii="宋体" w:hAnsi="宋体"/>
          <w:b/>
          <w:bCs/>
          <w:color w:val="auto"/>
          <w:sz w:val="28"/>
          <w:szCs w:val="28"/>
        </w:rPr>
        <w:t>【课程设置及要求】</w:t>
      </w:r>
      <w:bookmarkEnd w:id="24"/>
      <w:bookmarkEnd w:id="25"/>
      <w:bookmarkEnd w:id="26"/>
      <w:bookmarkEnd w:id="27"/>
      <w:bookmarkEnd w:id="28"/>
      <w:bookmarkEnd w:id="29"/>
      <w:bookmarkEnd w:id="30"/>
    </w:p>
    <w:p>
      <w:pPr>
        <w:pStyle w:val="8"/>
        <w:adjustRightInd w:val="0"/>
        <w:snapToGrid w:val="0"/>
        <w:spacing w:before="100" w:beforeAutospacing="1" w:after="100" w:afterAutospacing="1"/>
        <w:ind w:firstLine="480"/>
        <w:outlineLvl w:val="0"/>
        <w:rPr>
          <w:rFonts w:ascii="宋体" w:hAnsi="宋体"/>
          <w:color w:val="auto"/>
          <w:sz w:val="24"/>
        </w:rPr>
      </w:pPr>
      <w:bookmarkStart w:id="31" w:name="_Toc15427"/>
      <w:bookmarkStart w:id="32" w:name="_Toc12358"/>
      <w:bookmarkStart w:id="33" w:name="_Toc318"/>
      <w:r>
        <w:rPr>
          <w:rFonts w:hint="eastAsia" w:ascii="宋体" w:hAnsi="宋体"/>
          <w:color w:val="auto"/>
          <w:sz w:val="24"/>
        </w:rPr>
        <w:t>本专业课程设置为公共基础课和专业（技能）课。</w:t>
      </w:r>
      <w:bookmarkEnd w:id="31"/>
      <w:bookmarkEnd w:id="32"/>
      <w:bookmarkEnd w:id="33"/>
    </w:p>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公共基础课包括德育课、文化课、体育与健康，以及其他自然科学和人文科学类基础课。</w:t>
      </w:r>
    </w:p>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专业技能课包括专业核心课、专业（技能）方向课和专业选修课，实习实训是专业技能课教学的重要内容，含校内外实训、顶岗实习等多种形式。</w:t>
      </w:r>
    </w:p>
    <w:p>
      <w:pPr>
        <w:spacing w:before="100" w:beforeAutospacing="1" w:after="100" w:afterAutospacing="1"/>
        <w:ind w:firstLine="573"/>
        <w:outlineLvl w:val="1"/>
        <w:rPr>
          <w:rFonts w:ascii="宋体" w:hAnsi="宋体" w:eastAsia="宋体"/>
          <w:color w:val="auto"/>
          <w:sz w:val="24"/>
        </w:rPr>
      </w:pPr>
      <w:bookmarkStart w:id="34" w:name="_Toc17357"/>
      <w:bookmarkStart w:id="35" w:name="_Toc12763"/>
      <w:bookmarkStart w:id="36" w:name="_Toc22450"/>
      <w:bookmarkStart w:id="37" w:name="_Toc6336"/>
      <w:bookmarkStart w:id="38" w:name="_Toc10195"/>
      <w:bookmarkStart w:id="39" w:name="_Toc3008"/>
      <w:bookmarkStart w:id="40" w:name="_Toc21868"/>
      <w:r>
        <w:rPr>
          <w:rFonts w:hint="eastAsia" w:ascii="宋体" w:hAnsi="宋体" w:eastAsia="宋体"/>
          <w:color w:val="auto"/>
          <w:sz w:val="24"/>
        </w:rPr>
        <w:t>（一）公共基础课</w:t>
      </w:r>
      <w:bookmarkEnd w:id="34"/>
      <w:bookmarkEnd w:id="35"/>
      <w:bookmarkEnd w:id="36"/>
      <w:bookmarkEnd w:id="37"/>
      <w:bookmarkEnd w:id="38"/>
      <w:bookmarkEnd w:id="39"/>
      <w:bookmarkEnd w:id="40"/>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183"/>
        <w:gridCol w:w="535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序号</w:t>
            </w:r>
          </w:p>
        </w:tc>
        <w:tc>
          <w:tcPr>
            <w:tcW w:w="1095"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课程名称</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主要教学内容和要求</w:t>
            </w:r>
          </w:p>
        </w:tc>
        <w:tc>
          <w:tcPr>
            <w:tcW w:w="695"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tabs>
                <w:tab w:val="center" w:pos="262"/>
              </w:tabs>
              <w:spacing w:before="100" w:beforeAutospacing="1" w:after="100" w:afterAutospacing="1"/>
              <w:ind w:firstLine="240" w:firstLineChars="100"/>
              <w:jc w:val="center"/>
              <w:rPr>
                <w:rFonts w:ascii="宋体" w:hAnsi="宋体" w:eastAsia="宋体"/>
                <w:color w:val="auto"/>
                <w:sz w:val="24"/>
              </w:rPr>
            </w:pPr>
            <w:r>
              <w:rPr>
                <w:rFonts w:hint="eastAsia" w:ascii="宋体" w:hAnsi="宋体" w:eastAsia="宋体"/>
                <w:color w:val="auto"/>
                <w:sz w:val="24"/>
              </w:rPr>
              <w:t>1</w:t>
            </w:r>
          </w:p>
        </w:tc>
        <w:tc>
          <w:tcPr>
            <w:tcW w:w="1095"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职业生涯规划</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依据《中等职业学校职业生涯规划教学大纲》开设，并与专业实际和行业发展密切结合</w:t>
            </w:r>
          </w:p>
        </w:tc>
        <w:tc>
          <w:tcPr>
            <w:tcW w:w="695"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ind w:firstLine="573"/>
              <w:jc w:val="center"/>
              <w:rPr>
                <w:rFonts w:ascii="宋体" w:hAnsi="宋体" w:eastAsia="宋体"/>
                <w:color w:val="auto"/>
                <w:sz w:val="24"/>
              </w:rPr>
            </w:pPr>
          </w:p>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2</w:t>
            </w:r>
          </w:p>
        </w:tc>
        <w:tc>
          <w:tcPr>
            <w:tcW w:w="1095"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职业道德与法律</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依据《中等职业学校职业道德与法律教学大纲》开设，并与专业实际和行业发展密切结合</w:t>
            </w:r>
          </w:p>
        </w:tc>
        <w:tc>
          <w:tcPr>
            <w:tcW w:w="695"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3</w:t>
            </w:r>
          </w:p>
        </w:tc>
        <w:tc>
          <w:tcPr>
            <w:tcW w:w="1095" w:type="pct"/>
            <w:vAlign w:val="center"/>
          </w:tcPr>
          <w:p>
            <w:pPr>
              <w:spacing w:before="100" w:beforeAutospacing="1" w:after="100" w:afterAutospacing="1"/>
              <w:ind w:firstLine="240" w:firstLineChars="100"/>
              <w:rPr>
                <w:rFonts w:ascii="宋体" w:hAnsi="宋体" w:eastAsia="宋体"/>
                <w:color w:val="auto"/>
                <w:sz w:val="24"/>
              </w:rPr>
            </w:pPr>
            <w:r>
              <w:rPr>
                <w:rFonts w:hint="eastAsia" w:ascii="宋体" w:hAnsi="宋体" w:eastAsia="宋体"/>
                <w:color w:val="auto"/>
                <w:sz w:val="24"/>
              </w:rPr>
              <w:t>心理健康</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依据《中等职业学校心理健康教学大纲》开设，并与专业实际和行业发展密切结合</w:t>
            </w:r>
          </w:p>
        </w:tc>
        <w:tc>
          <w:tcPr>
            <w:tcW w:w="695"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4</w:t>
            </w:r>
          </w:p>
        </w:tc>
        <w:tc>
          <w:tcPr>
            <w:tcW w:w="1095"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哲学与人生</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依据《中等职业学校哲学与人生教学大纲》开设，并与专业实际和行业发展密切结合</w:t>
            </w:r>
          </w:p>
        </w:tc>
        <w:tc>
          <w:tcPr>
            <w:tcW w:w="695"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5</w:t>
            </w:r>
          </w:p>
        </w:tc>
        <w:tc>
          <w:tcPr>
            <w:tcW w:w="1095" w:type="pct"/>
            <w:vAlign w:val="center"/>
          </w:tcPr>
          <w:p>
            <w:pPr>
              <w:spacing w:before="100" w:beforeAutospacing="1" w:after="100" w:afterAutospacing="1"/>
              <w:ind w:firstLine="573"/>
              <w:rPr>
                <w:rFonts w:ascii="宋体" w:hAnsi="宋体" w:eastAsia="宋体"/>
                <w:color w:val="auto"/>
                <w:sz w:val="24"/>
              </w:rPr>
            </w:pPr>
            <w:r>
              <w:rPr>
                <w:rFonts w:hint="eastAsia" w:ascii="宋体" w:hAnsi="宋体" w:eastAsia="宋体"/>
                <w:color w:val="auto"/>
                <w:sz w:val="24"/>
              </w:rPr>
              <w:t>语文</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依据《中等职业学校语文教学大纲》开设，并与专业实际和行业发展密切结合</w:t>
            </w:r>
          </w:p>
        </w:tc>
        <w:tc>
          <w:tcPr>
            <w:tcW w:w="695"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6</w:t>
            </w:r>
          </w:p>
        </w:tc>
        <w:tc>
          <w:tcPr>
            <w:tcW w:w="1095" w:type="pct"/>
            <w:vAlign w:val="center"/>
          </w:tcPr>
          <w:p>
            <w:pPr>
              <w:spacing w:before="100" w:beforeAutospacing="1" w:after="100" w:afterAutospacing="1"/>
              <w:ind w:firstLine="573"/>
              <w:rPr>
                <w:rFonts w:ascii="宋体" w:hAnsi="宋体" w:eastAsia="宋体"/>
                <w:color w:val="auto"/>
                <w:sz w:val="24"/>
              </w:rPr>
            </w:pPr>
            <w:r>
              <w:rPr>
                <w:rFonts w:hint="eastAsia" w:ascii="宋体" w:hAnsi="宋体" w:eastAsia="宋体"/>
                <w:color w:val="auto"/>
                <w:sz w:val="24"/>
              </w:rPr>
              <w:t>数学</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依据《中等职业学校数学教学大纲》开设，并与专业实际和行业发展密切结合</w:t>
            </w:r>
          </w:p>
        </w:tc>
        <w:tc>
          <w:tcPr>
            <w:tcW w:w="695" w:type="pct"/>
            <w:vAlign w:val="center"/>
          </w:tcPr>
          <w:p>
            <w:pPr>
              <w:spacing w:before="100" w:beforeAutospacing="1" w:after="100" w:afterAutospacing="1"/>
              <w:ind w:firstLine="480" w:firstLineChars="200"/>
              <w:rPr>
                <w:rFonts w:hint="default" w:ascii="宋体" w:hAnsi="宋体" w:eastAsia="宋体"/>
                <w:color w:val="auto"/>
                <w:sz w:val="24"/>
                <w:lang w:val="en-US" w:eastAsia="zh-CN"/>
              </w:rPr>
            </w:pPr>
            <w:r>
              <w:rPr>
                <w:rFonts w:hint="eastAsia" w:ascii="宋体" w:hAnsi="宋体" w:eastAsia="宋体"/>
                <w:color w:val="auto"/>
                <w:sz w:val="24"/>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7</w:t>
            </w:r>
          </w:p>
        </w:tc>
        <w:tc>
          <w:tcPr>
            <w:tcW w:w="1095" w:type="pct"/>
            <w:vAlign w:val="center"/>
          </w:tcPr>
          <w:p>
            <w:pPr>
              <w:spacing w:before="100" w:beforeAutospacing="1" w:after="100" w:afterAutospacing="1"/>
              <w:ind w:firstLine="573"/>
              <w:rPr>
                <w:rFonts w:ascii="宋体" w:hAnsi="宋体" w:eastAsia="宋体"/>
                <w:color w:val="auto"/>
                <w:sz w:val="24"/>
              </w:rPr>
            </w:pPr>
            <w:r>
              <w:rPr>
                <w:rFonts w:hint="eastAsia" w:ascii="宋体" w:hAnsi="宋体" w:eastAsia="宋体"/>
                <w:color w:val="auto"/>
                <w:sz w:val="24"/>
              </w:rPr>
              <w:t>英语</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依据《中等职业学校英语教学大纲》开设，并与专业实际和行业发展密切结合</w:t>
            </w:r>
          </w:p>
        </w:tc>
        <w:tc>
          <w:tcPr>
            <w:tcW w:w="695" w:type="pct"/>
            <w:vAlign w:val="center"/>
          </w:tcPr>
          <w:p>
            <w:pPr>
              <w:spacing w:before="100" w:beforeAutospacing="1" w:after="100" w:afterAutospacing="1"/>
              <w:ind w:firstLine="480" w:firstLineChars="200"/>
              <w:rPr>
                <w:rFonts w:hint="default" w:ascii="宋体" w:hAnsi="宋体" w:eastAsia="宋体"/>
                <w:color w:val="auto"/>
                <w:sz w:val="24"/>
                <w:lang w:val="en-US" w:eastAsia="zh-CN"/>
              </w:rPr>
            </w:pPr>
            <w:r>
              <w:rPr>
                <w:rFonts w:hint="eastAsia" w:ascii="宋体" w:hAnsi="宋体" w:eastAsia="宋体"/>
                <w:color w:val="auto"/>
                <w:sz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spacing w:before="100" w:beforeAutospacing="1" w:after="100" w:afterAutospacing="1"/>
              <w:jc w:val="center"/>
              <w:rPr>
                <w:rFonts w:hint="eastAsia" w:ascii="宋体" w:hAnsi="宋体" w:eastAsia="宋体"/>
                <w:color w:val="auto"/>
                <w:sz w:val="24"/>
                <w:lang w:eastAsia="zh-CN"/>
              </w:rPr>
            </w:pPr>
            <w:r>
              <w:rPr>
                <w:rFonts w:hint="eastAsia" w:ascii="宋体" w:hAnsi="宋体" w:eastAsia="宋体"/>
                <w:color w:val="auto"/>
                <w:sz w:val="24"/>
                <w:lang w:val="en-US" w:eastAsia="zh-CN"/>
              </w:rPr>
              <w:t>8</w:t>
            </w:r>
          </w:p>
        </w:tc>
        <w:tc>
          <w:tcPr>
            <w:tcW w:w="1095" w:type="pct"/>
            <w:vAlign w:val="center"/>
          </w:tcPr>
          <w:p>
            <w:pPr>
              <w:spacing w:before="100" w:beforeAutospacing="1" w:after="100" w:afterAutospacing="1"/>
              <w:ind w:firstLine="240" w:firstLineChars="100"/>
              <w:jc w:val="center"/>
              <w:rPr>
                <w:rFonts w:ascii="宋体" w:hAnsi="宋体" w:eastAsia="宋体"/>
                <w:color w:val="auto"/>
                <w:sz w:val="24"/>
              </w:rPr>
            </w:pPr>
            <w:r>
              <w:rPr>
                <w:rFonts w:hint="eastAsia" w:ascii="宋体" w:hAnsi="宋体" w:eastAsia="宋体"/>
                <w:color w:val="auto"/>
                <w:sz w:val="24"/>
              </w:rPr>
              <w:t>体育与健康</w:t>
            </w:r>
          </w:p>
        </w:tc>
        <w:tc>
          <w:tcPr>
            <w:tcW w:w="2686"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依据《中等职业学校体育与健康教学大纲》开设，并与专业实际和行业发展密切结合</w:t>
            </w:r>
          </w:p>
        </w:tc>
        <w:tc>
          <w:tcPr>
            <w:tcW w:w="695"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160</w:t>
            </w:r>
          </w:p>
        </w:tc>
      </w:tr>
    </w:tbl>
    <w:p>
      <w:pPr>
        <w:pStyle w:val="18"/>
        <w:shd w:val="clear" w:color="auto" w:fill="FFFFFF"/>
        <w:ind w:right="300"/>
        <w:jc w:val="both"/>
        <w:rPr>
          <w:color w:val="auto"/>
        </w:rPr>
      </w:pPr>
    </w:p>
    <w:p>
      <w:pPr>
        <w:numPr>
          <w:ilvl w:val="0"/>
          <w:numId w:val="3"/>
        </w:numPr>
        <w:spacing w:before="100" w:beforeAutospacing="1" w:after="100" w:afterAutospacing="1"/>
        <w:rPr>
          <w:rFonts w:ascii="宋体" w:hAnsi="宋体" w:eastAsia="宋体"/>
          <w:color w:val="auto"/>
          <w:sz w:val="30"/>
          <w:szCs w:val="30"/>
        </w:rPr>
      </w:pPr>
      <w:r>
        <w:rPr>
          <w:rFonts w:hint="eastAsia" w:ascii="宋体" w:hAnsi="宋体" w:eastAsia="宋体"/>
          <w:color w:val="auto"/>
          <w:sz w:val="30"/>
          <w:szCs w:val="30"/>
        </w:rPr>
        <w:t>专业技能课程</w:t>
      </w:r>
    </w:p>
    <w:p>
      <w:pPr>
        <w:spacing w:before="100" w:beforeAutospacing="1" w:after="100" w:afterAutospacing="1"/>
        <w:outlineLvl w:val="2"/>
        <w:rPr>
          <w:rFonts w:ascii="宋体" w:hAnsi="宋体" w:eastAsia="宋体"/>
          <w:color w:val="auto"/>
          <w:sz w:val="30"/>
          <w:szCs w:val="30"/>
        </w:rPr>
      </w:pPr>
      <w:bookmarkStart w:id="41" w:name="_Toc27667"/>
      <w:bookmarkStart w:id="42" w:name="_Toc9408"/>
      <w:bookmarkStart w:id="43" w:name="_Toc28932"/>
      <w:bookmarkStart w:id="44" w:name="_Toc13518"/>
      <w:bookmarkStart w:id="45" w:name="_Toc23235"/>
      <w:r>
        <w:rPr>
          <w:rFonts w:hint="eastAsia" w:ascii="宋体" w:hAnsi="宋体" w:eastAsia="宋体"/>
          <w:bCs/>
          <w:color w:val="auto"/>
          <w:sz w:val="24"/>
        </w:rPr>
        <w:t>1.核心专业课</w:t>
      </w:r>
      <w:bookmarkEnd w:id="41"/>
      <w:bookmarkEnd w:id="42"/>
      <w:bookmarkEnd w:id="43"/>
      <w:bookmarkEnd w:id="44"/>
      <w:bookmarkEnd w:id="45"/>
    </w:p>
    <w:tbl>
      <w:tblPr>
        <w:tblStyle w:val="20"/>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099"/>
        <w:gridCol w:w="670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序号</w:t>
            </w:r>
          </w:p>
        </w:tc>
        <w:tc>
          <w:tcPr>
            <w:tcW w:w="613" w:type="pct"/>
            <w:vAlign w:val="center"/>
          </w:tcPr>
          <w:p>
            <w:pPr>
              <w:spacing w:before="100" w:beforeAutospacing="1" w:after="100" w:afterAutospacing="1"/>
              <w:rPr>
                <w:rFonts w:ascii="宋体" w:hAnsi="宋体" w:eastAsia="宋体"/>
                <w:color w:val="auto"/>
                <w:sz w:val="24"/>
              </w:rPr>
            </w:pPr>
            <w:r>
              <w:rPr>
                <w:rFonts w:hint="eastAsia" w:ascii="宋体" w:hAnsi="宋体" w:eastAsia="宋体"/>
                <w:color w:val="auto"/>
                <w:sz w:val="24"/>
              </w:rPr>
              <w:t>课程名称</w:t>
            </w:r>
          </w:p>
        </w:tc>
        <w:tc>
          <w:tcPr>
            <w:tcW w:w="3490" w:type="pct"/>
            <w:vAlign w:val="center"/>
          </w:tcPr>
          <w:p>
            <w:pPr>
              <w:spacing w:before="100" w:beforeAutospacing="1" w:after="100" w:afterAutospacing="1"/>
              <w:ind w:firstLine="573"/>
              <w:jc w:val="center"/>
              <w:rPr>
                <w:rFonts w:ascii="宋体" w:hAnsi="宋体" w:eastAsia="宋体"/>
                <w:color w:val="auto"/>
                <w:sz w:val="24"/>
              </w:rPr>
            </w:pPr>
            <w:r>
              <w:rPr>
                <w:rFonts w:hint="eastAsia" w:ascii="宋体" w:hAnsi="宋体" w:eastAsia="宋体"/>
                <w:color w:val="auto"/>
                <w:sz w:val="24"/>
              </w:rPr>
              <w:t>主要教学内容和要求</w:t>
            </w:r>
          </w:p>
        </w:tc>
        <w:tc>
          <w:tcPr>
            <w:tcW w:w="363"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tabs>
                <w:tab w:val="center" w:pos="262"/>
              </w:tabs>
              <w:spacing w:before="100" w:beforeAutospacing="1" w:after="100" w:afterAutospacing="1"/>
              <w:ind w:firstLine="240" w:firstLineChars="100"/>
              <w:jc w:val="center"/>
              <w:rPr>
                <w:rFonts w:ascii="宋体" w:hAnsi="宋体" w:eastAsia="宋体"/>
                <w:color w:val="auto"/>
                <w:sz w:val="24"/>
              </w:rPr>
            </w:pPr>
            <w:r>
              <w:rPr>
                <w:rFonts w:hint="eastAsia" w:ascii="宋体" w:hAnsi="宋体" w:eastAsia="宋体"/>
                <w:color w:val="auto"/>
                <w:sz w:val="24"/>
              </w:rPr>
              <w:t>1</w:t>
            </w:r>
          </w:p>
        </w:tc>
        <w:tc>
          <w:tcPr>
            <w:tcW w:w="613"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化学</w:t>
            </w:r>
          </w:p>
        </w:tc>
        <w:tc>
          <w:tcPr>
            <w:tcW w:w="3490" w:type="pct"/>
            <w:vAlign w:val="center"/>
          </w:tcPr>
          <w:p>
            <w:pPr>
              <w:spacing w:before="100" w:beforeAutospacing="1" w:after="100" w:afterAutospacing="1"/>
              <w:ind w:firstLine="480" w:firstLineChars="200"/>
              <w:rPr>
                <w:rFonts w:ascii="宋体" w:hAnsi="宋体" w:eastAsia="宋体" w:cstheme="minorEastAsia"/>
                <w:bCs/>
                <w:color w:val="auto"/>
                <w:sz w:val="24"/>
                <w:szCs w:val="24"/>
              </w:rPr>
            </w:pPr>
            <w:r>
              <w:rPr>
                <w:rFonts w:hint="eastAsia" w:ascii="宋体" w:hAnsi="宋体" w:eastAsia="宋体" w:cstheme="minorEastAsia"/>
                <w:color w:val="auto"/>
                <w:sz w:val="24"/>
                <w:szCs w:val="24"/>
              </w:rPr>
              <w:t>通过本课程的学习，要求学生理解理论知识，掌握化学基本计算及化学用语；掌握元素及其化合物的性质。培养学生综合运用化学基本理论知识去分析处理一般化学问题的能力。</w:t>
            </w:r>
            <w:r>
              <w:rPr>
                <w:rFonts w:hint="eastAsia" w:ascii="宋体" w:hAnsi="宋体" w:eastAsia="宋体" w:cstheme="minorEastAsia"/>
                <w:bCs/>
                <w:color w:val="auto"/>
                <w:sz w:val="24"/>
                <w:szCs w:val="24"/>
              </w:rPr>
              <w:t>初步从微观和宏观相结合来阐述元素及其化合物的性质，灵活运用所学知识解决综合问题的能力。</w:t>
            </w:r>
          </w:p>
          <w:p>
            <w:pPr>
              <w:spacing w:before="100" w:beforeAutospacing="1" w:after="100" w:afterAutospacing="1"/>
              <w:ind w:firstLine="480" w:firstLineChars="200"/>
              <w:rPr>
                <w:rFonts w:ascii="宋体" w:hAnsi="宋体" w:eastAsia="宋体" w:cstheme="minorEastAsia"/>
                <w:bCs/>
                <w:color w:val="auto"/>
                <w:sz w:val="24"/>
                <w:szCs w:val="24"/>
              </w:rPr>
            </w:pPr>
            <w:r>
              <w:rPr>
                <w:rFonts w:hint="eastAsia" w:ascii="宋体" w:hAnsi="宋体" w:eastAsia="宋体" w:cstheme="minorEastAsia"/>
                <w:bCs/>
                <w:color w:val="auto"/>
                <w:sz w:val="24"/>
                <w:szCs w:val="24"/>
              </w:rPr>
              <w:t>主要教学内容：</w:t>
            </w:r>
            <w:r>
              <w:rPr>
                <w:rFonts w:hint="eastAsia" w:ascii="宋体" w:hAnsi="宋体" w:eastAsia="宋体" w:cstheme="minorEastAsia"/>
                <w:color w:val="auto"/>
                <w:sz w:val="24"/>
                <w:szCs w:val="24"/>
              </w:rPr>
              <w:t>常见金属元素及应用、微观粒子的计量单位——摩尔化学反应的探寻、自然界中的非金属元素、物质结构  元素周期律、电解质溶液、来自化石能源的基本化工原料、烃的衍生物、营养物质   合成材料</w:t>
            </w:r>
          </w:p>
        </w:tc>
        <w:tc>
          <w:tcPr>
            <w:tcW w:w="363"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tabs>
                <w:tab w:val="center" w:pos="262"/>
              </w:tabs>
              <w:spacing w:before="100" w:beforeAutospacing="1" w:after="100" w:afterAutospacing="1"/>
              <w:ind w:firstLine="240" w:firstLineChars="100"/>
              <w:jc w:val="center"/>
              <w:rPr>
                <w:rFonts w:ascii="宋体" w:hAnsi="宋体" w:eastAsia="宋体"/>
                <w:color w:val="auto"/>
                <w:sz w:val="24"/>
              </w:rPr>
            </w:pPr>
            <w:r>
              <w:rPr>
                <w:rFonts w:hint="eastAsia" w:ascii="宋体" w:hAnsi="宋体" w:eastAsia="宋体"/>
                <w:color w:val="auto"/>
                <w:sz w:val="24"/>
              </w:rPr>
              <w:t>2</w:t>
            </w:r>
          </w:p>
        </w:tc>
        <w:tc>
          <w:tcPr>
            <w:tcW w:w="613"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化工原理</w:t>
            </w:r>
          </w:p>
        </w:tc>
        <w:tc>
          <w:tcPr>
            <w:tcW w:w="3490" w:type="pct"/>
            <w:vAlign w:val="center"/>
          </w:tcPr>
          <w:p>
            <w:pPr>
              <w:spacing w:before="100" w:beforeAutospacing="1" w:after="100" w:afterAutospacing="1"/>
              <w:ind w:firstLine="480" w:firstLineChars="200"/>
              <w:rPr>
                <w:rFonts w:ascii="宋体" w:hAnsi="宋体" w:eastAsia="宋体"/>
                <w:color w:val="auto"/>
                <w:sz w:val="24"/>
                <w:szCs w:val="24"/>
              </w:rPr>
            </w:pPr>
            <w:r>
              <w:rPr>
                <w:rFonts w:hint="eastAsia" w:ascii="宋体" w:hAnsi="宋体" w:eastAsia="宋体"/>
                <w:color w:val="auto"/>
                <w:sz w:val="24"/>
                <w:szCs w:val="24"/>
              </w:rPr>
              <w:t>化工原理是化学工艺专业（如工业分析与检验、高分子材料加工、化工过程监控、化工机械、企业管理等）的一门基本技术课，是学习化工生产过程基本知识和共同性操作规律的综合性课程。本课程是理论性和实践性都很强的课程，它阐明如何综合运用物理和化学理论，并结合化学工程中的观点和方法来解决化工生产中的实际问题。本课程介绍流体流动与输送、非均相物系的分离、传热、蒸发、吸收、蒸馏和干燥等单元操作的基本原理，基本计算方法，典型设备及操作注意事项。</w:t>
            </w:r>
          </w:p>
          <w:p>
            <w:pPr>
              <w:spacing w:before="100" w:beforeAutospacing="1" w:after="100" w:afterAutospacing="1"/>
              <w:ind w:firstLine="573"/>
              <w:jc w:val="center"/>
              <w:rPr>
                <w:rFonts w:ascii="宋体" w:hAnsi="宋体" w:eastAsia="宋体"/>
                <w:color w:val="auto"/>
                <w:sz w:val="24"/>
              </w:rPr>
            </w:pPr>
          </w:p>
        </w:tc>
        <w:tc>
          <w:tcPr>
            <w:tcW w:w="363"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tabs>
                <w:tab w:val="center" w:pos="262"/>
              </w:tabs>
              <w:spacing w:before="100" w:beforeAutospacing="1" w:after="100" w:afterAutospacing="1"/>
              <w:ind w:firstLine="240" w:firstLineChars="100"/>
              <w:jc w:val="center"/>
              <w:rPr>
                <w:rFonts w:ascii="宋体" w:hAnsi="宋体" w:eastAsia="宋体"/>
                <w:color w:val="auto"/>
                <w:sz w:val="24"/>
              </w:rPr>
            </w:pPr>
            <w:r>
              <w:rPr>
                <w:rFonts w:hint="eastAsia" w:ascii="宋体" w:hAnsi="宋体" w:eastAsia="宋体"/>
                <w:color w:val="auto"/>
                <w:sz w:val="24"/>
              </w:rPr>
              <w:t>3、</w:t>
            </w:r>
          </w:p>
        </w:tc>
        <w:tc>
          <w:tcPr>
            <w:tcW w:w="613"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化工分析</w:t>
            </w:r>
          </w:p>
        </w:tc>
        <w:tc>
          <w:tcPr>
            <w:tcW w:w="3490" w:type="pct"/>
            <w:vAlign w:val="center"/>
          </w:tcPr>
          <w:p>
            <w:pPr>
              <w:spacing w:before="100" w:beforeAutospacing="1" w:after="100" w:afterAutospacing="1"/>
              <w:ind w:firstLine="480" w:firstLineChars="200"/>
              <w:rPr>
                <w:rFonts w:ascii="宋体" w:hAnsi="宋体" w:eastAsia="宋体" w:cs="宋体"/>
                <w:color w:val="auto"/>
                <w:sz w:val="24"/>
              </w:rPr>
            </w:pPr>
            <w:r>
              <w:rPr>
                <w:rFonts w:hint="eastAsia" w:ascii="宋体" w:hAnsi="宋体" w:eastAsia="宋体" w:cs="宋体"/>
                <w:color w:val="auto"/>
                <w:sz w:val="24"/>
              </w:rPr>
              <w:t>通过本课程的学习，要求学生系统的掌握分析化学的基础理论和基本技巧，准确树立“量”的概念，初步具有选择分析化学方法，正确判断和表达分析结果的能力，并解决各类样品分析和有关科研中的实际问题，同时为后续专业课程的学习打下基础。分析化学课在教给学生基本的分析化学原理和方法的同时，培养从事理论研究和实际工作的能力和严谨的科学作风。</w:t>
            </w:r>
          </w:p>
          <w:p>
            <w:pPr>
              <w:widowControl/>
              <w:spacing w:before="100" w:beforeAutospacing="1" w:after="100" w:afterAutospacing="1"/>
              <w:ind w:firstLine="480" w:firstLineChars="200"/>
              <w:jc w:val="left"/>
              <w:rPr>
                <w:rFonts w:ascii="宋体" w:hAnsi="宋体" w:eastAsia="宋体" w:cs="宋体"/>
                <w:color w:val="auto"/>
                <w:sz w:val="24"/>
              </w:rPr>
            </w:pPr>
            <w:r>
              <w:rPr>
                <w:rFonts w:hint="eastAsia" w:ascii="宋体" w:hAnsi="宋体" w:eastAsia="宋体" w:cs="宋体"/>
                <w:color w:val="auto"/>
                <w:sz w:val="24"/>
              </w:rPr>
              <w:t>掌握分析误差概念和基本理论，树立正确的量的概念；掌握滴定分析、重量分析和分光光度法的基本原理和方法。</w:t>
            </w:r>
          </w:p>
          <w:p>
            <w:pPr>
              <w:spacing w:before="100" w:beforeAutospacing="1" w:after="100" w:afterAutospacing="1"/>
              <w:ind w:firstLine="573"/>
              <w:jc w:val="center"/>
              <w:rPr>
                <w:rFonts w:ascii="宋体" w:hAnsi="宋体" w:eastAsia="宋体"/>
                <w:color w:val="auto"/>
                <w:sz w:val="24"/>
              </w:rPr>
            </w:pPr>
          </w:p>
        </w:tc>
        <w:tc>
          <w:tcPr>
            <w:tcW w:w="363"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tabs>
                <w:tab w:val="center" w:pos="262"/>
              </w:tabs>
              <w:spacing w:before="100" w:beforeAutospacing="1" w:after="100" w:afterAutospacing="1"/>
              <w:ind w:firstLine="240" w:firstLineChars="100"/>
              <w:jc w:val="center"/>
              <w:rPr>
                <w:rFonts w:ascii="宋体" w:hAnsi="宋体" w:eastAsia="宋体"/>
                <w:color w:val="auto"/>
                <w:sz w:val="24"/>
              </w:rPr>
            </w:pPr>
            <w:r>
              <w:rPr>
                <w:rFonts w:hint="eastAsia" w:ascii="宋体" w:hAnsi="宋体" w:eastAsia="宋体"/>
                <w:color w:val="auto"/>
                <w:sz w:val="24"/>
              </w:rPr>
              <w:t>4</w:t>
            </w:r>
          </w:p>
        </w:tc>
        <w:tc>
          <w:tcPr>
            <w:tcW w:w="613" w:type="pct"/>
            <w:vAlign w:val="center"/>
          </w:tcPr>
          <w:p>
            <w:pPr>
              <w:spacing w:before="100" w:beforeAutospacing="1" w:after="100" w:afterAutospacing="1"/>
              <w:jc w:val="center"/>
              <w:rPr>
                <w:rFonts w:ascii="宋体" w:hAnsi="宋体" w:eastAsia="宋体"/>
                <w:color w:val="auto"/>
                <w:sz w:val="24"/>
              </w:rPr>
            </w:pPr>
            <w:r>
              <w:rPr>
                <w:rFonts w:hint="eastAsia" w:ascii="宋体" w:hAnsi="宋体" w:eastAsia="宋体"/>
                <w:color w:val="auto"/>
                <w:sz w:val="24"/>
              </w:rPr>
              <w:t>烧碱生产与操作</w:t>
            </w:r>
          </w:p>
        </w:tc>
        <w:tc>
          <w:tcPr>
            <w:tcW w:w="3490" w:type="pct"/>
            <w:vAlign w:val="center"/>
          </w:tcPr>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szCs w:val="24"/>
              </w:rPr>
              <w:t>本书主要介绍典型氯碱工业化工产品烧碱的生产技术与操作，全书共分为三篇，第一篇隔膜法电解，着重介绍金属阳极电解槽工艺，包括盐水精制、隔膜法电解和氯氢处理。第二篇离子膜法制碱，介绍了当今最先进的制碱工艺离子膜制碱技术，包括盐水的二次精制、离子膜法电解原理及离子膜电解槽技术的生产操作。第三篇电解产品加工重点介绍了液氯、盐酸和液体烧碱的生产工艺。内容丰富，可读性强，贯彻理论与实际相结合的原则，既对基本概念和基本原理作了详细阐述，更注重实际操作技能的培养和实际问题的解决，加强了课本知识与现场需求的联系。</w:t>
            </w:r>
            <w:r>
              <w:rPr>
                <w:rFonts w:ascii="宋体" w:hAnsi="宋体" w:eastAsia="宋体"/>
                <w:color w:val="auto"/>
                <w:sz w:val="24"/>
                <w:szCs w:val="24"/>
              </w:rPr>
              <w:t>还要特别注意培养学生具有综合运用所学知识去分析问题和解决问题的能力</w:t>
            </w:r>
            <w:r>
              <w:rPr>
                <w:rFonts w:hint="eastAsia" w:ascii="宋体" w:hAnsi="宋体" w:eastAsia="宋体"/>
                <w:color w:val="auto"/>
                <w:sz w:val="24"/>
                <w:szCs w:val="24"/>
              </w:rPr>
              <w:t>。</w:t>
            </w:r>
          </w:p>
        </w:tc>
        <w:tc>
          <w:tcPr>
            <w:tcW w:w="363" w:type="pct"/>
            <w:vAlign w:val="center"/>
          </w:tcPr>
          <w:p>
            <w:pPr>
              <w:spacing w:before="100" w:beforeAutospacing="1" w:after="100" w:afterAutospacing="1"/>
              <w:rPr>
                <w:rFonts w:ascii="宋体" w:hAnsi="宋体" w:eastAsia="宋体"/>
                <w:color w:val="auto"/>
                <w:sz w:val="24"/>
              </w:rPr>
            </w:pPr>
            <w:r>
              <w:rPr>
                <w:rFonts w:hint="eastAsia" w:ascii="宋体" w:hAnsi="宋体" w:eastAsia="宋体"/>
                <w:color w:val="auto"/>
                <w:sz w:val="24"/>
              </w:rPr>
              <w:t>100</w:t>
            </w:r>
          </w:p>
        </w:tc>
      </w:tr>
    </w:tbl>
    <w:p>
      <w:pPr>
        <w:spacing w:before="100" w:beforeAutospacing="1" w:after="100" w:afterAutospacing="1"/>
        <w:outlineLvl w:val="2"/>
        <w:rPr>
          <w:rFonts w:ascii="宋体" w:hAnsi="宋体" w:eastAsia="宋体"/>
          <w:bCs/>
          <w:color w:val="auto"/>
          <w:sz w:val="24"/>
        </w:rPr>
      </w:pPr>
      <w:r>
        <w:rPr>
          <w:rFonts w:hint="eastAsia" w:ascii="宋体" w:hAnsi="宋体" w:eastAsia="宋体"/>
          <w:bCs/>
          <w:color w:val="auto"/>
          <w:sz w:val="24"/>
        </w:rPr>
        <w:t>2.专业（技能）方向课</w:t>
      </w:r>
    </w:p>
    <w:tbl>
      <w:tblPr>
        <w:tblStyle w:val="20"/>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302"/>
        <w:gridCol w:w="665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宋体" w:hAnsi="宋体" w:eastAsia="宋体"/>
                <w:bCs/>
                <w:color w:val="auto"/>
                <w:sz w:val="24"/>
              </w:rPr>
            </w:pPr>
            <w:r>
              <w:rPr>
                <w:rFonts w:hint="eastAsia" w:ascii="宋体" w:hAnsi="宋体" w:eastAsia="宋体"/>
                <w:bCs/>
                <w:color w:val="auto"/>
                <w:sz w:val="24"/>
              </w:rPr>
              <w:t>序号</w:t>
            </w:r>
          </w:p>
        </w:tc>
        <w:tc>
          <w:tcPr>
            <w:tcW w:w="668" w:type="pct"/>
            <w:vAlign w:val="center"/>
          </w:tcPr>
          <w:p>
            <w:pPr>
              <w:jc w:val="center"/>
              <w:rPr>
                <w:rFonts w:ascii="宋体" w:hAnsi="宋体" w:eastAsia="宋体"/>
                <w:bCs/>
                <w:color w:val="auto"/>
                <w:sz w:val="24"/>
              </w:rPr>
            </w:pPr>
            <w:r>
              <w:rPr>
                <w:rFonts w:hint="eastAsia" w:ascii="宋体" w:hAnsi="宋体" w:eastAsia="宋体"/>
                <w:bCs/>
                <w:color w:val="auto"/>
                <w:sz w:val="24"/>
              </w:rPr>
              <w:t>课程名称</w:t>
            </w:r>
          </w:p>
        </w:tc>
        <w:tc>
          <w:tcPr>
            <w:tcW w:w="3416" w:type="pct"/>
            <w:vAlign w:val="center"/>
          </w:tcPr>
          <w:p>
            <w:pPr>
              <w:jc w:val="center"/>
              <w:rPr>
                <w:rFonts w:ascii="宋体" w:hAnsi="宋体" w:eastAsia="宋体"/>
                <w:bCs/>
                <w:color w:val="auto"/>
                <w:sz w:val="24"/>
              </w:rPr>
            </w:pPr>
            <w:r>
              <w:rPr>
                <w:rFonts w:hint="eastAsia" w:ascii="宋体" w:hAnsi="宋体" w:eastAsia="宋体"/>
                <w:bCs/>
                <w:color w:val="auto"/>
                <w:sz w:val="24"/>
              </w:rPr>
              <w:t>主要学习内容和要求</w:t>
            </w:r>
          </w:p>
        </w:tc>
        <w:tc>
          <w:tcPr>
            <w:tcW w:w="438" w:type="pct"/>
            <w:vAlign w:val="center"/>
          </w:tcPr>
          <w:p>
            <w:pPr>
              <w:jc w:val="center"/>
              <w:rPr>
                <w:rFonts w:ascii="宋体" w:hAnsi="宋体" w:eastAsia="宋体"/>
                <w:bCs/>
                <w:color w:val="auto"/>
                <w:sz w:val="24"/>
              </w:rPr>
            </w:pPr>
            <w:r>
              <w:rPr>
                <w:rFonts w:hint="eastAsia" w:ascii="宋体" w:hAnsi="宋体" w:eastAsia="宋体"/>
                <w:bCs/>
                <w:color w:val="auto"/>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宋体" w:hAnsi="宋体" w:eastAsia="宋体"/>
                <w:bCs/>
                <w:color w:val="auto"/>
                <w:sz w:val="24"/>
              </w:rPr>
            </w:pPr>
            <w:r>
              <w:rPr>
                <w:rFonts w:hint="eastAsia" w:ascii="宋体" w:hAnsi="宋体" w:eastAsia="宋体"/>
                <w:bCs/>
                <w:color w:val="auto"/>
                <w:sz w:val="24"/>
              </w:rPr>
              <w:t>1</w:t>
            </w:r>
          </w:p>
        </w:tc>
        <w:tc>
          <w:tcPr>
            <w:tcW w:w="668" w:type="pct"/>
            <w:vAlign w:val="center"/>
          </w:tcPr>
          <w:p>
            <w:pPr>
              <w:jc w:val="center"/>
              <w:rPr>
                <w:rFonts w:ascii="宋体" w:hAnsi="宋体" w:eastAsia="宋体"/>
                <w:bCs/>
                <w:color w:val="auto"/>
                <w:sz w:val="24"/>
              </w:rPr>
            </w:pPr>
            <w:r>
              <w:rPr>
                <w:rFonts w:ascii="宋体" w:hAnsi="宋体" w:eastAsia="宋体" w:cs="Times New Roman"/>
                <w:bCs/>
                <w:color w:val="auto"/>
                <w:sz w:val="28"/>
                <w:szCs w:val="28"/>
              </w:rPr>
              <w:t>化学实验</w:t>
            </w:r>
          </w:p>
        </w:tc>
        <w:tc>
          <w:tcPr>
            <w:tcW w:w="3416" w:type="pct"/>
            <w:vAlign w:val="center"/>
          </w:tcPr>
          <w:p>
            <w:pPr>
              <w:jc w:val="left"/>
              <w:rPr>
                <w:rFonts w:ascii="宋体" w:hAnsi="宋体" w:eastAsia="宋体" w:cs="Times New Roman"/>
                <w:color w:val="auto"/>
                <w:sz w:val="24"/>
                <w:szCs w:val="24"/>
              </w:rPr>
            </w:pPr>
            <w:r>
              <w:rPr>
                <w:rFonts w:hint="eastAsia" w:ascii="宋体" w:hAnsi="宋体" w:eastAsia="宋体"/>
                <w:bCs/>
                <w:color w:val="auto"/>
                <w:sz w:val="24"/>
              </w:rPr>
              <w:t>学生实验：</w:t>
            </w:r>
            <w:r>
              <w:rPr>
                <w:rFonts w:hint="eastAsia" w:ascii="宋体" w:hAnsi="宋体" w:eastAsia="宋体" w:cs="Times New Roman"/>
                <w:color w:val="auto"/>
                <w:sz w:val="24"/>
                <w:szCs w:val="24"/>
              </w:rPr>
              <w:t>化学实验的基本操作、</w:t>
            </w:r>
            <w:r>
              <w:rPr>
                <w:rFonts w:hint="eastAsia" w:ascii="宋体" w:hAnsi="宋体" w:eastAsia="宋体" w:cs="Times New Roman"/>
                <w:color w:val="auto"/>
                <w:kern w:val="0"/>
                <w:sz w:val="24"/>
                <w:szCs w:val="24"/>
              </w:rPr>
              <w:t>钠及其化合物、</w:t>
            </w:r>
            <w:r>
              <w:rPr>
                <w:rFonts w:hint="eastAsia" w:ascii="宋体" w:hAnsi="宋体" w:eastAsia="宋体" w:cs="Times New Roman"/>
                <w:color w:val="auto"/>
                <w:sz w:val="24"/>
                <w:szCs w:val="24"/>
              </w:rPr>
              <w:t>铝和铁、</w:t>
            </w:r>
            <w:r>
              <w:rPr>
                <w:rFonts w:hint="eastAsia" w:ascii="宋体" w:hAnsi="宋体" w:eastAsia="宋体" w:cs="Times New Roman"/>
                <w:color w:val="auto"/>
                <w:kern w:val="0"/>
                <w:sz w:val="24"/>
                <w:szCs w:val="24"/>
              </w:rPr>
              <w:t>配制一定物质的量浓度的溶液、化学反应速率和化学平衡、卤素的性质 氯离子的检验、</w:t>
            </w:r>
            <w:r>
              <w:rPr>
                <w:rFonts w:hint="eastAsia" w:ascii="宋体" w:hAnsi="宋体" w:eastAsia="宋体" w:cs="Times New Roman"/>
                <w:color w:val="auto"/>
                <w:sz w:val="24"/>
                <w:szCs w:val="24"/>
              </w:rPr>
              <w:t xml:space="preserve">浓硫酸的性质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 xml:space="preserve">硫酸根离子的检验、氨的性质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 xml:space="preserve">喷泉实验、周期表中元素性质的递变、电解质溶液 </w:t>
            </w:r>
            <w:r>
              <w:rPr>
                <w:rFonts w:ascii="宋体" w:hAnsi="宋体" w:eastAsia="宋体" w:cs="Times New Roman"/>
                <w:color w:val="auto"/>
                <w:sz w:val="24"/>
                <w:szCs w:val="24"/>
              </w:rPr>
              <w:t xml:space="preserve"> pH</w:t>
            </w:r>
            <w:r>
              <w:rPr>
                <w:rFonts w:hint="eastAsia" w:ascii="宋体" w:hAnsi="宋体" w:eastAsia="宋体" w:cs="Times New Roman"/>
                <w:color w:val="auto"/>
                <w:sz w:val="24"/>
                <w:szCs w:val="24"/>
              </w:rPr>
              <w:t>、饱和烃和不饱和烃的性质比较、几种烃的衍生物的性质、蛋白质的性质。</w:t>
            </w:r>
          </w:p>
          <w:p>
            <w:pPr>
              <w:ind w:left="1" w:firstLine="420"/>
              <w:rPr>
                <w:rFonts w:ascii="宋体" w:hAnsi="宋体" w:eastAsia="宋体" w:cs="Times New Roman"/>
                <w:bCs/>
                <w:color w:val="auto"/>
                <w:sz w:val="24"/>
                <w:szCs w:val="24"/>
              </w:rPr>
            </w:pPr>
            <w:r>
              <w:rPr>
                <w:rFonts w:hint="eastAsia" w:ascii="宋体" w:hAnsi="宋体" w:eastAsia="宋体" w:cs="Times New Roman"/>
                <w:color w:val="auto"/>
                <w:sz w:val="24"/>
                <w:szCs w:val="24"/>
              </w:rPr>
              <w:t>探究实验：检验补铁剂中是否存在铁元素并确定其价态、探究温度、催化剂对化学反应速率的影响、探究浓度对化学反应速率的影响、肥皂的制取。</w:t>
            </w:r>
            <w:r>
              <w:rPr>
                <w:rFonts w:ascii="宋体" w:hAnsi="宋体" w:eastAsia="宋体" w:cs="Times New Roman"/>
                <w:bCs/>
                <w:color w:val="auto"/>
                <w:sz w:val="24"/>
                <w:szCs w:val="24"/>
              </w:rPr>
              <w:t>通过化学实验，使学生掌握化学实验基本操作技能，获得大量物质变化的感性认识，加深对化学基本原理和基础知识的理解和掌握，在此基础上使学生养成独立思考、独立准备和进行实验、细致的观察和记录现象的习惯，培养学生具有一定的实验综合设计能力和正确归纳、综合处理数据、分析实验结果的能力。</w:t>
            </w:r>
          </w:p>
          <w:p>
            <w:pPr>
              <w:rPr>
                <w:rFonts w:ascii="宋体" w:hAnsi="宋体" w:eastAsia="宋体" w:cs="Times New Roman"/>
                <w:color w:val="auto"/>
                <w:sz w:val="24"/>
                <w:szCs w:val="24"/>
              </w:rPr>
            </w:pPr>
          </w:p>
        </w:tc>
        <w:tc>
          <w:tcPr>
            <w:tcW w:w="438" w:type="pct"/>
            <w:vAlign w:val="center"/>
          </w:tcPr>
          <w:p>
            <w:pPr>
              <w:jc w:val="center"/>
              <w:rPr>
                <w:rFonts w:ascii="宋体" w:hAnsi="宋体" w:eastAsia="宋体"/>
                <w:bCs/>
                <w:color w:val="auto"/>
                <w:sz w:val="24"/>
              </w:rPr>
            </w:pPr>
          </w:p>
          <w:p>
            <w:pPr>
              <w:jc w:val="center"/>
              <w:rPr>
                <w:rFonts w:ascii="宋体" w:hAnsi="宋体" w:eastAsia="宋体"/>
                <w:bCs/>
                <w:color w:val="auto"/>
                <w:sz w:val="24"/>
              </w:rPr>
            </w:pPr>
            <w:r>
              <w:rPr>
                <w:rFonts w:hint="eastAsia" w:ascii="宋体" w:hAnsi="宋体" w:eastAsia="宋体"/>
                <w:bCs/>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宋体" w:hAnsi="宋体" w:eastAsia="宋体"/>
                <w:bCs/>
                <w:color w:val="auto"/>
                <w:sz w:val="24"/>
              </w:rPr>
            </w:pPr>
            <w:r>
              <w:rPr>
                <w:rFonts w:hint="eastAsia" w:ascii="宋体" w:hAnsi="宋体" w:eastAsia="宋体"/>
                <w:bCs/>
                <w:color w:val="auto"/>
                <w:sz w:val="24"/>
              </w:rPr>
              <w:t>2</w:t>
            </w:r>
          </w:p>
        </w:tc>
        <w:tc>
          <w:tcPr>
            <w:tcW w:w="668" w:type="pct"/>
            <w:vAlign w:val="center"/>
          </w:tcPr>
          <w:p>
            <w:pPr>
              <w:jc w:val="center"/>
              <w:rPr>
                <w:rFonts w:ascii="宋体" w:hAnsi="宋体" w:eastAsia="宋体"/>
                <w:bCs/>
                <w:color w:val="auto"/>
                <w:sz w:val="24"/>
              </w:rPr>
            </w:pPr>
            <w:r>
              <w:rPr>
                <w:rFonts w:hint="eastAsia" w:ascii="宋体" w:hAnsi="宋体" w:eastAsia="宋体"/>
                <w:bCs/>
                <w:color w:val="auto"/>
                <w:sz w:val="24"/>
              </w:rPr>
              <w:t>化工原理实验、实训</w:t>
            </w:r>
          </w:p>
        </w:tc>
        <w:tc>
          <w:tcPr>
            <w:tcW w:w="3416"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化工原理</w:t>
            </w:r>
            <w:r>
              <w:rPr>
                <w:rFonts w:ascii="宋体" w:hAnsi="宋体" w:eastAsia="宋体" w:cs="Times New Roman"/>
                <w:color w:val="auto"/>
                <w:sz w:val="24"/>
                <w:szCs w:val="24"/>
              </w:rPr>
              <w:t>实验针对化工及相关专业学生进行</w:t>
            </w:r>
            <w:r>
              <w:rPr>
                <w:rFonts w:hint="eastAsia" w:ascii="宋体" w:hAnsi="宋体" w:eastAsia="宋体" w:cs="Times New Roman"/>
                <w:color w:val="auto"/>
                <w:sz w:val="24"/>
                <w:szCs w:val="24"/>
              </w:rPr>
              <w:t>动量传递</w:t>
            </w:r>
            <w:r>
              <w:rPr>
                <w:rFonts w:ascii="宋体" w:hAnsi="宋体" w:eastAsia="宋体" w:cs="Times New Roman"/>
                <w:color w:val="auto"/>
                <w:sz w:val="24"/>
                <w:szCs w:val="24"/>
              </w:rPr>
              <w:t>、</w:t>
            </w:r>
            <w:r>
              <w:rPr>
                <w:rFonts w:hint="eastAsia" w:ascii="宋体" w:hAnsi="宋体" w:eastAsia="宋体" w:cs="Times New Roman"/>
                <w:color w:val="auto"/>
                <w:sz w:val="24"/>
                <w:szCs w:val="24"/>
              </w:rPr>
              <w:t>热量传递</w:t>
            </w:r>
            <w:r>
              <w:rPr>
                <w:rFonts w:ascii="宋体" w:hAnsi="宋体" w:eastAsia="宋体" w:cs="Times New Roman"/>
                <w:color w:val="auto"/>
                <w:sz w:val="24"/>
                <w:szCs w:val="24"/>
              </w:rPr>
              <w:t>、</w:t>
            </w:r>
            <w:r>
              <w:rPr>
                <w:rFonts w:hint="eastAsia" w:ascii="宋体" w:hAnsi="宋体" w:eastAsia="宋体" w:cs="Times New Roman"/>
                <w:color w:val="auto"/>
                <w:sz w:val="24"/>
                <w:szCs w:val="24"/>
              </w:rPr>
              <w:t>质量传递等</w:t>
            </w:r>
            <w:r>
              <w:rPr>
                <w:rFonts w:ascii="宋体" w:hAnsi="宋体" w:eastAsia="宋体" w:cs="Times New Roman"/>
                <w:color w:val="auto"/>
                <w:sz w:val="24"/>
                <w:szCs w:val="24"/>
              </w:rPr>
              <w:t>方面</w:t>
            </w:r>
            <w:r>
              <w:rPr>
                <w:rFonts w:hint="eastAsia" w:ascii="宋体" w:hAnsi="宋体" w:eastAsia="宋体" w:cs="Times New Roman"/>
                <w:color w:val="auto"/>
                <w:sz w:val="24"/>
                <w:szCs w:val="24"/>
              </w:rPr>
              <w:t>工程实验</w:t>
            </w:r>
            <w:r>
              <w:rPr>
                <w:rFonts w:ascii="宋体" w:hAnsi="宋体" w:eastAsia="宋体" w:cs="Times New Roman"/>
                <w:color w:val="auto"/>
                <w:sz w:val="24"/>
                <w:szCs w:val="24"/>
              </w:rPr>
              <w:t>的系统训练</w:t>
            </w:r>
            <w:r>
              <w:rPr>
                <w:rFonts w:hint="eastAsia" w:ascii="宋体" w:hAnsi="宋体" w:eastAsia="宋体" w:cs="Times New Roman"/>
                <w:color w:val="auto"/>
                <w:sz w:val="24"/>
                <w:szCs w:val="24"/>
              </w:rPr>
              <w:t>，</w:t>
            </w:r>
            <w:r>
              <w:rPr>
                <w:rFonts w:ascii="宋体" w:hAnsi="宋体" w:eastAsia="宋体" w:cs="Times New Roman"/>
                <w:color w:val="auto"/>
                <w:sz w:val="24"/>
                <w:szCs w:val="24"/>
              </w:rPr>
              <w:t>使学生</w:t>
            </w:r>
            <w:r>
              <w:rPr>
                <w:rFonts w:hint="eastAsia" w:ascii="宋体" w:hAnsi="宋体" w:eastAsia="宋体" w:cs="Times New Roman"/>
                <w:color w:val="auto"/>
                <w:sz w:val="24"/>
                <w:szCs w:val="24"/>
              </w:rPr>
              <w:t>掌握工程问题的处理和研究方法，</w:t>
            </w:r>
            <w:r>
              <w:rPr>
                <w:rFonts w:ascii="宋体" w:hAnsi="宋体" w:eastAsia="宋体" w:cs="Times New Roman"/>
                <w:color w:val="auto"/>
                <w:sz w:val="24"/>
                <w:szCs w:val="24"/>
              </w:rPr>
              <w:t>掌握</w:t>
            </w:r>
            <w:r>
              <w:rPr>
                <w:rFonts w:hint="eastAsia" w:ascii="宋体" w:hAnsi="宋体" w:eastAsia="宋体" w:cs="Times New Roman"/>
                <w:color w:val="auto"/>
                <w:sz w:val="24"/>
                <w:szCs w:val="24"/>
              </w:rPr>
              <w:t>典型单元装置的基本操作技能，</w:t>
            </w:r>
            <w:r>
              <w:rPr>
                <w:rFonts w:ascii="宋体" w:hAnsi="宋体" w:eastAsia="宋体" w:cs="Times New Roman"/>
                <w:color w:val="auto"/>
                <w:sz w:val="24"/>
                <w:szCs w:val="24"/>
              </w:rPr>
              <w:t>了解</w:t>
            </w:r>
            <w:r>
              <w:rPr>
                <w:rFonts w:hint="eastAsia" w:ascii="宋体" w:hAnsi="宋体" w:eastAsia="宋体" w:cs="Times New Roman"/>
                <w:color w:val="auto"/>
                <w:sz w:val="24"/>
                <w:szCs w:val="24"/>
              </w:rPr>
              <w:t>工程实验设计的基本原则，了解工程实验中参数测量仪表的选用原则及流程组织的基本原则。从而</w:t>
            </w:r>
            <w:r>
              <w:rPr>
                <w:rFonts w:ascii="宋体" w:hAnsi="宋体" w:eastAsia="宋体" w:cs="Times New Roman"/>
                <w:color w:val="auto"/>
                <w:sz w:val="24"/>
                <w:szCs w:val="24"/>
              </w:rPr>
              <w:t>培养学生严谨的科学态度和</w:t>
            </w:r>
            <w:r>
              <w:rPr>
                <w:rFonts w:hint="eastAsia" w:ascii="宋体" w:hAnsi="宋体" w:eastAsia="宋体" w:cs="Times New Roman"/>
                <w:color w:val="auto"/>
                <w:sz w:val="24"/>
                <w:szCs w:val="24"/>
              </w:rPr>
              <w:t>工程观念</w:t>
            </w:r>
            <w:r>
              <w:rPr>
                <w:rFonts w:ascii="宋体" w:hAnsi="宋体" w:eastAsia="宋体" w:cs="Times New Roman"/>
                <w:color w:val="auto"/>
                <w:sz w:val="24"/>
                <w:szCs w:val="24"/>
              </w:rPr>
              <w:t>；培养学生分析问题和解决问题的能力；提高学生的独立思考能力和创新</w:t>
            </w:r>
            <w:r>
              <w:rPr>
                <w:rFonts w:hint="eastAsia" w:ascii="宋体" w:hAnsi="宋体" w:eastAsia="宋体" w:cs="Times New Roman"/>
                <w:color w:val="auto"/>
                <w:sz w:val="24"/>
                <w:szCs w:val="24"/>
              </w:rPr>
              <w:t>。</w:t>
            </w:r>
          </w:p>
          <w:p>
            <w:pPr>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实验内容：</w:t>
            </w:r>
            <w:r>
              <w:rPr>
                <w:rFonts w:hint="eastAsia" w:ascii="宋体" w:hAnsi="宋体" w:eastAsia="宋体"/>
                <w:color w:val="auto"/>
                <w:sz w:val="24"/>
                <w:szCs w:val="24"/>
              </w:rPr>
              <w:t>流体流动综合实验、</w:t>
            </w:r>
            <w:r>
              <w:rPr>
                <w:rFonts w:hint="eastAsia" w:ascii="宋体" w:hAnsi="宋体" w:eastAsia="宋体" w:cs="Times New Roman"/>
                <w:color w:val="auto"/>
                <w:sz w:val="24"/>
                <w:szCs w:val="24"/>
              </w:rPr>
              <w:t>恒压过滤实验、</w:t>
            </w:r>
            <w:r>
              <w:rPr>
                <w:rFonts w:hint="eastAsia" w:ascii="宋体" w:hAnsi="宋体" w:eastAsia="宋体"/>
                <w:color w:val="auto"/>
                <w:sz w:val="24"/>
                <w:szCs w:val="24"/>
              </w:rPr>
              <w:t>伯努利方程演示实验、</w:t>
            </w:r>
          </w:p>
          <w:p>
            <w:pPr>
              <w:rPr>
                <w:rFonts w:ascii="宋体" w:hAnsi="宋体" w:eastAsia="宋体" w:cs="Times New Roman"/>
                <w:color w:val="auto"/>
                <w:sz w:val="24"/>
                <w:szCs w:val="24"/>
              </w:rPr>
            </w:pPr>
            <w:r>
              <w:rPr>
                <w:rFonts w:hint="eastAsia" w:ascii="宋体" w:hAnsi="宋体" w:eastAsia="宋体"/>
                <w:color w:val="auto"/>
                <w:sz w:val="24"/>
                <w:szCs w:val="24"/>
              </w:rPr>
              <w:t>单相流动阻力测定实验、洞道干燥实验</w:t>
            </w:r>
          </w:p>
          <w:p>
            <w:pPr>
              <w:rPr>
                <w:rFonts w:ascii="宋体" w:hAnsi="宋体" w:eastAsia="宋体" w:cs="Times New Roman"/>
                <w:bCs/>
                <w:color w:val="auto"/>
                <w:sz w:val="24"/>
                <w:szCs w:val="24"/>
              </w:rPr>
            </w:pPr>
            <w:r>
              <w:rPr>
                <w:rFonts w:hint="eastAsia" w:ascii="宋体" w:hAnsi="宋体" w:eastAsia="宋体" w:cs="Times New Roman"/>
                <w:color w:val="auto"/>
                <w:sz w:val="24"/>
                <w:szCs w:val="24"/>
              </w:rPr>
              <w:t xml:space="preserve"> 精馏塔的操作与塔效率的测定、</w:t>
            </w:r>
            <w:r>
              <w:rPr>
                <w:rFonts w:hint="eastAsia" w:ascii="宋体" w:hAnsi="宋体" w:eastAsia="宋体"/>
                <w:color w:val="auto"/>
                <w:sz w:val="24"/>
                <w:szCs w:val="24"/>
              </w:rPr>
              <w:t>吸收与解吸实验</w:t>
            </w:r>
            <w:r>
              <w:rPr>
                <w:rFonts w:hint="eastAsia" w:ascii="宋体" w:hAnsi="宋体" w:eastAsia="宋体" w:cs="Times New Roman"/>
                <w:color w:val="auto"/>
                <w:sz w:val="24"/>
                <w:szCs w:val="24"/>
              </w:rPr>
              <w:t>雷诺实验、</w:t>
            </w:r>
            <w:r>
              <w:rPr>
                <w:rFonts w:hint="eastAsia" w:ascii="宋体" w:hAnsi="宋体" w:eastAsia="宋体" w:cs="Times New Roman"/>
                <w:bCs/>
                <w:color w:val="auto"/>
                <w:sz w:val="24"/>
                <w:szCs w:val="24"/>
              </w:rPr>
              <w:t>流线</w:t>
            </w:r>
            <w:r>
              <w:rPr>
                <w:rFonts w:hint="eastAsia" w:ascii="宋体" w:hAnsi="宋体" w:eastAsia="宋体"/>
                <w:bCs/>
                <w:color w:val="auto"/>
                <w:sz w:val="24"/>
                <w:szCs w:val="24"/>
              </w:rPr>
              <w:t>演示</w:t>
            </w:r>
            <w:r>
              <w:rPr>
                <w:rFonts w:hint="eastAsia" w:ascii="宋体" w:hAnsi="宋体" w:eastAsia="宋体" w:cs="Times New Roman"/>
                <w:bCs/>
                <w:color w:val="auto"/>
                <w:sz w:val="24"/>
                <w:szCs w:val="24"/>
              </w:rPr>
              <w:t>实验、</w:t>
            </w:r>
          </w:p>
          <w:p>
            <w:pPr>
              <w:rPr>
                <w:rFonts w:ascii="宋体" w:hAnsi="宋体" w:eastAsia="宋体"/>
                <w:bCs/>
                <w:color w:val="auto"/>
                <w:sz w:val="24"/>
                <w:szCs w:val="24"/>
              </w:rPr>
            </w:pPr>
            <w:r>
              <w:rPr>
                <w:rFonts w:hint="eastAsia" w:ascii="宋体" w:hAnsi="宋体" w:eastAsia="宋体"/>
                <w:bCs/>
                <w:color w:val="auto"/>
                <w:sz w:val="24"/>
                <w:szCs w:val="24"/>
              </w:rPr>
              <w:t>化工管件名称、</w:t>
            </w:r>
            <w:r>
              <w:rPr>
                <w:rFonts w:hint="eastAsia" w:ascii="宋体" w:hAnsi="宋体" w:eastAsia="宋体" w:cs="Times New Roman"/>
                <w:bCs/>
                <w:color w:val="auto"/>
                <w:sz w:val="24"/>
                <w:szCs w:val="24"/>
              </w:rPr>
              <w:t>气流输送与旋风分离器、</w:t>
            </w:r>
            <w:r>
              <w:rPr>
                <w:rFonts w:hint="eastAsia" w:ascii="宋体" w:hAnsi="宋体" w:eastAsia="宋体"/>
                <w:bCs/>
                <w:color w:val="auto"/>
                <w:sz w:val="24"/>
                <w:szCs w:val="24"/>
              </w:rPr>
              <w:t>离心泵性能的测定。</w:t>
            </w:r>
          </w:p>
          <w:p>
            <w:pPr>
              <w:ind w:firstLine="480" w:firstLineChars="200"/>
              <w:rPr>
                <w:rFonts w:ascii="宋体" w:hAnsi="宋体" w:eastAsia="宋体" w:cs="Times New Roman"/>
                <w:color w:val="auto"/>
                <w:sz w:val="24"/>
                <w:szCs w:val="24"/>
              </w:rPr>
            </w:pPr>
            <w:r>
              <w:rPr>
                <w:rFonts w:hint="eastAsia" w:ascii="宋体" w:hAnsi="宋体" w:eastAsia="宋体"/>
                <w:bCs/>
                <w:color w:val="auto"/>
                <w:sz w:val="24"/>
                <w:szCs w:val="24"/>
              </w:rPr>
              <w:t>实训内容：</w:t>
            </w:r>
            <w:r>
              <w:rPr>
                <w:rFonts w:hint="eastAsia" w:ascii="宋体" w:hAnsi="宋体" w:eastAsia="宋体" w:cs="Times New Roman"/>
                <w:color w:val="auto"/>
                <w:sz w:val="24"/>
                <w:szCs w:val="24"/>
              </w:rPr>
              <w:t>流体流动与输送、流化床干燥器、</w:t>
            </w:r>
            <w:r>
              <w:rPr>
                <w:rFonts w:hint="eastAsia" w:ascii="宋体" w:hAnsi="宋体" w:eastAsia="宋体"/>
                <w:color w:val="auto"/>
                <w:sz w:val="24"/>
                <w:szCs w:val="24"/>
              </w:rPr>
              <w:t>传热实训、</w:t>
            </w:r>
            <w:r>
              <w:rPr>
                <w:rFonts w:hint="eastAsia" w:ascii="宋体" w:hAnsi="宋体" w:eastAsia="宋体" w:cs="Times New Roman"/>
                <w:color w:val="auto"/>
                <w:sz w:val="24"/>
                <w:szCs w:val="24"/>
              </w:rPr>
              <w:t xml:space="preserve"> </w:t>
            </w:r>
            <w:r>
              <w:rPr>
                <w:rFonts w:hint="eastAsia" w:ascii="宋体" w:hAnsi="宋体" w:eastAsia="宋体"/>
                <w:color w:val="auto"/>
                <w:sz w:val="24"/>
                <w:szCs w:val="24"/>
              </w:rPr>
              <w:t>蒸发实训、吸收与解吸实训、精馏实训、虚拟仿真实训</w:t>
            </w:r>
          </w:p>
        </w:tc>
        <w:tc>
          <w:tcPr>
            <w:tcW w:w="438" w:type="pct"/>
            <w:vAlign w:val="center"/>
          </w:tcPr>
          <w:p>
            <w:pPr>
              <w:jc w:val="center"/>
              <w:rPr>
                <w:rFonts w:ascii="宋体" w:hAnsi="宋体" w:eastAsia="宋体"/>
                <w:bCs/>
                <w:color w:val="auto"/>
                <w:sz w:val="24"/>
              </w:rPr>
            </w:pPr>
            <w:r>
              <w:rPr>
                <w:rFonts w:hint="eastAsia" w:ascii="宋体" w:hAnsi="宋体" w:eastAsia="宋体"/>
                <w:bCs/>
                <w:color w:val="auto"/>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ascii="宋体" w:hAnsi="宋体" w:eastAsia="宋体"/>
                <w:bCs/>
                <w:color w:val="auto"/>
                <w:sz w:val="24"/>
              </w:rPr>
            </w:pPr>
            <w:r>
              <w:rPr>
                <w:rFonts w:hint="eastAsia" w:ascii="宋体" w:hAnsi="宋体" w:eastAsia="宋体"/>
                <w:bCs/>
                <w:color w:val="auto"/>
                <w:sz w:val="24"/>
              </w:rPr>
              <w:t>3、</w:t>
            </w:r>
          </w:p>
        </w:tc>
        <w:tc>
          <w:tcPr>
            <w:tcW w:w="668" w:type="pct"/>
            <w:vAlign w:val="center"/>
          </w:tcPr>
          <w:p>
            <w:pPr>
              <w:jc w:val="center"/>
              <w:rPr>
                <w:rFonts w:ascii="宋体" w:hAnsi="宋体" w:eastAsia="宋体"/>
                <w:bCs/>
                <w:color w:val="auto"/>
                <w:sz w:val="24"/>
              </w:rPr>
            </w:pPr>
            <w:r>
              <w:rPr>
                <w:rFonts w:hint="eastAsia" w:ascii="宋体" w:hAnsi="宋体" w:eastAsia="宋体"/>
                <w:bCs/>
                <w:color w:val="auto"/>
                <w:sz w:val="24"/>
              </w:rPr>
              <w:t>化工分析实验</w:t>
            </w:r>
          </w:p>
        </w:tc>
        <w:tc>
          <w:tcPr>
            <w:tcW w:w="3416" w:type="pct"/>
            <w:vAlign w:val="center"/>
          </w:tcPr>
          <w:p>
            <w:pPr>
              <w:ind w:firstLine="480" w:firstLineChars="200"/>
              <w:rPr>
                <w:rFonts w:ascii="宋体" w:hAnsi="宋体" w:eastAsia="宋体" w:cs="宋体"/>
                <w:color w:val="auto"/>
                <w:sz w:val="24"/>
              </w:rPr>
            </w:pPr>
            <w:r>
              <w:rPr>
                <w:rFonts w:hint="eastAsia" w:ascii="宋体" w:hAnsi="宋体" w:eastAsia="宋体" w:cs="宋体"/>
                <w:color w:val="auto"/>
                <w:sz w:val="24"/>
              </w:rPr>
              <w:t>通过实验加深对分析方法的原理及其有关理论的理解，并能灵活运用所学理论知识指导实验操作；学习并掌握分析化学实验的基本知识，基本技术操作和典型的分析测定方法；树立“量”的概念，运用误差理论和分析化学理论知识，找出严重影响分析结果的关键环节，在实验中做到心中有数。学会正确合理的选择实验条件和实验仪器，正确处理实验数据，以保证试验结果准确可靠。使学生初步具有解决分析化学实际问题的能力，</w:t>
            </w:r>
          </w:p>
          <w:p>
            <w:pPr>
              <w:adjustRightInd w:val="0"/>
              <w:snapToGrid w:val="0"/>
              <w:rPr>
                <w:rFonts w:ascii="宋体" w:hAnsi="宋体" w:eastAsia="宋体" w:cs="宋体"/>
                <w:color w:val="auto"/>
                <w:kern w:val="0"/>
                <w:sz w:val="24"/>
                <w:szCs w:val="24"/>
              </w:rPr>
            </w:pPr>
            <w:r>
              <w:rPr>
                <w:rFonts w:hint="eastAsia" w:ascii="宋体" w:hAnsi="宋体" w:eastAsia="宋体" w:cs="宋体"/>
                <w:bCs/>
                <w:color w:val="auto"/>
                <w:kern w:val="0"/>
                <w:sz w:val="24"/>
                <w:szCs w:val="24"/>
              </w:rPr>
              <w:t>实验内容：分析天平的称量练习、</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滴定分析仪器及操作技术、氢氧化钠标准溶液的配制、乙酸溶液含量的分析、</w:t>
            </w:r>
          </w:p>
          <w:p>
            <w:pPr>
              <w:adjustRightInd w:val="0"/>
              <w:snapToGrid w:val="0"/>
              <w:rPr>
                <w:rFonts w:ascii="宋体" w:hAnsi="宋体" w:eastAsia="宋体"/>
                <w:bCs/>
                <w:color w:val="auto"/>
                <w:sz w:val="24"/>
              </w:rPr>
            </w:pPr>
            <w:r>
              <w:rPr>
                <w:rFonts w:hint="eastAsia" w:ascii="宋体" w:hAnsi="宋体" w:eastAsia="宋体" w:cs="宋体"/>
                <w:color w:val="auto"/>
                <w:sz w:val="24"/>
                <w:szCs w:val="24"/>
              </w:rPr>
              <w:t>盐酸标准滴定溶液的制备、烧碱中NaOH与Na</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CO</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含量的分析、铵盐纯度的测定、工业甲醛溶液含量的分析、氨水中氨含量的分析、EDTA标准溶液的制备、工业用水硬度的测定、混合液中铁、铝含量的测定、高锰酸钾标准溶液的制备、过氧化氢含量的分析、硫代硫酸钠标准溶液的制备、硫酸铜含量分析、聚合硫酸铁中全铁的测定、</w:t>
            </w:r>
            <w:r>
              <w:rPr>
                <w:rFonts w:hint="eastAsia" w:ascii="宋体" w:hAnsi="宋体" w:eastAsia="宋体" w:cs="宋体"/>
                <w:color w:val="auto"/>
                <w:kern w:val="0"/>
                <w:sz w:val="24"/>
                <w:szCs w:val="24"/>
              </w:rPr>
              <w:t>卡尔费休法测定化工产品中微量水、</w:t>
            </w:r>
            <w:r>
              <w:rPr>
                <w:rFonts w:hint="eastAsia" w:ascii="宋体" w:hAnsi="宋体" w:eastAsia="宋体" w:cs="宋体"/>
                <w:color w:val="auto"/>
                <w:sz w:val="24"/>
                <w:szCs w:val="24"/>
              </w:rPr>
              <w:t>硝酸银标准溶液的制备和水中氯化物的测定、硫酸钠含量的分析、电位法测定水中pH、纯碱中少量氯化物的测定、电导法检测水的纯度、液态化工产品色度的测定、纯碱中微量铁的测定、工业乙二醇中微量醛的测定、环己烷中微量苯的测定、</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填充色谱柱的制备与安</w:t>
            </w:r>
            <w:r>
              <w:rPr>
                <w:rFonts w:hint="eastAsia" w:ascii="宋体" w:hAnsi="宋体" w:eastAsia="宋体" w:cs="宋体"/>
                <w:color w:val="auto"/>
                <w:kern w:val="0"/>
                <w:sz w:val="24"/>
                <w:szCs w:val="24"/>
              </w:rPr>
              <w:t xml:space="preserve"> C</w:t>
            </w:r>
            <w:r>
              <w:rPr>
                <w:rFonts w:hint="eastAsia" w:ascii="宋体" w:hAnsi="宋体" w:eastAsia="宋体" w:cs="宋体"/>
                <w:color w:val="auto"/>
                <w:kern w:val="0"/>
                <w:sz w:val="24"/>
                <w:szCs w:val="24"/>
                <w:vertAlign w:val="subscript"/>
              </w:rPr>
              <w:t>1</w:t>
            </w:r>
            <w:r>
              <w:rPr>
                <w:rFonts w:hint="eastAsia" w:ascii="宋体" w:hAnsi="宋体" w:eastAsia="宋体" w:cs="宋体"/>
                <w:color w:val="auto"/>
                <w:kern w:val="0"/>
                <w:sz w:val="24"/>
                <w:szCs w:val="24"/>
              </w:rPr>
              <w:t>-C</w:t>
            </w:r>
            <w:r>
              <w:rPr>
                <w:rFonts w:hint="eastAsia" w:ascii="宋体" w:hAnsi="宋体" w:eastAsia="宋体" w:cs="宋体"/>
                <w:color w:val="auto"/>
                <w:kern w:val="0"/>
                <w:sz w:val="24"/>
                <w:szCs w:val="24"/>
                <w:vertAlign w:val="subscript"/>
              </w:rPr>
              <w:t>3</w:t>
            </w:r>
            <w:r>
              <w:rPr>
                <w:rFonts w:hint="eastAsia" w:ascii="宋体" w:hAnsi="宋体" w:eastAsia="宋体" w:cs="宋体"/>
                <w:color w:val="auto"/>
                <w:kern w:val="0"/>
                <w:sz w:val="24"/>
                <w:szCs w:val="24"/>
              </w:rPr>
              <w:t>石油裂解气的分析、苯系混合物的分析、</w:t>
            </w:r>
            <w:r>
              <w:rPr>
                <w:rFonts w:hint="eastAsia" w:ascii="宋体" w:hAnsi="宋体" w:eastAsia="宋体" w:cs="宋体"/>
                <w:color w:val="auto"/>
                <w:sz w:val="24"/>
                <w:szCs w:val="24"/>
              </w:rPr>
              <w:t>乙醇中少量水分的分析、工业乙酸丁酯的分析。</w:t>
            </w:r>
          </w:p>
        </w:tc>
        <w:tc>
          <w:tcPr>
            <w:tcW w:w="438" w:type="pct"/>
            <w:vAlign w:val="center"/>
          </w:tcPr>
          <w:p>
            <w:pPr>
              <w:jc w:val="center"/>
              <w:rPr>
                <w:rFonts w:ascii="宋体" w:hAnsi="宋体" w:eastAsia="宋体"/>
                <w:bCs/>
                <w:color w:val="auto"/>
                <w:sz w:val="24"/>
              </w:rPr>
            </w:pPr>
            <w:r>
              <w:rPr>
                <w:rFonts w:hint="eastAsia" w:ascii="宋体" w:hAnsi="宋体" w:eastAsia="宋体"/>
                <w:bCs/>
                <w:color w:val="auto"/>
                <w:sz w:val="24"/>
              </w:rPr>
              <w:t>160</w:t>
            </w:r>
          </w:p>
        </w:tc>
      </w:tr>
    </w:tbl>
    <w:p>
      <w:pPr>
        <w:spacing w:before="100" w:beforeAutospacing="1" w:after="100" w:afterAutospacing="1"/>
        <w:outlineLvl w:val="2"/>
        <w:rPr>
          <w:rFonts w:ascii="宋体" w:hAnsi="宋体" w:eastAsia="宋体"/>
          <w:bCs/>
          <w:color w:val="auto"/>
          <w:sz w:val="24"/>
        </w:rPr>
      </w:pPr>
      <w:bookmarkStart w:id="46" w:name="_Toc25801"/>
      <w:bookmarkStart w:id="47" w:name="_Toc13759"/>
      <w:bookmarkStart w:id="48" w:name="_Toc5648"/>
      <w:bookmarkStart w:id="49" w:name="_Toc8841"/>
      <w:r>
        <w:rPr>
          <w:rFonts w:hint="eastAsia" w:ascii="宋体" w:hAnsi="宋体" w:eastAsia="宋体"/>
          <w:bCs/>
          <w:color w:val="auto"/>
          <w:sz w:val="24"/>
        </w:rPr>
        <w:t>3.专业选修课</w:t>
      </w:r>
      <w:bookmarkEnd w:id="46"/>
      <w:bookmarkEnd w:id="47"/>
      <w:bookmarkEnd w:id="48"/>
      <w:bookmarkEnd w:id="49"/>
    </w:p>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化工识图与制图、煤化学、煤化学工艺、其他</w:t>
      </w:r>
    </w:p>
    <w:p>
      <w:pPr>
        <w:numPr>
          <w:ilvl w:val="0"/>
          <w:numId w:val="4"/>
        </w:numPr>
        <w:spacing w:before="100" w:beforeAutospacing="1" w:after="100" w:afterAutospacing="1"/>
        <w:rPr>
          <w:rFonts w:ascii="宋体" w:hAnsi="宋体" w:eastAsia="宋体"/>
          <w:color w:val="auto"/>
          <w:sz w:val="24"/>
        </w:rPr>
      </w:pPr>
      <w:r>
        <w:rPr>
          <w:rFonts w:hint="eastAsia" w:ascii="宋体" w:hAnsi="宋体" w:eastAsia="宋体"/>
          <w:color w:val="auto"/>
          <w:sz w:val="24"/>
        </w:rPr>
        <w:t>综合实训</w:t>
      </w:r>
    </w:p>
    <w:p>
      <w:pPr>
        <w:spacing w:before="100" w:beforeAutospacing="1" w:after="100" w:afterAutospacing="1"/>
        <w:ind w:firstLine="480" w:firstLineChars="200"/>
        <w:jc w:val="left"/>
        <w:rPr>
          <w:rFonts w:ascii="宋体" w:hAnsi="宋体" w:eastAsia="宋体"/>
          <w:color w:val="auto"/>
          <w:sz w:val="24"/>
        </w:rPr>
      </w:pPr>
      <w:r>
        <w:rPr>
          <w:rFonts w:hint="eastAsia" w:ascii="宋体" w:hAnsi="宋体" w:eastAsia="宋体"/>
          <w:color w:val="auto"/>
          <w:sz w:val="24"/>
        </w:rPr>
        <w:t>综合实训是本专业必修的专业训练，包括普通化学实验、化工原理实验实训、化工分析实验。主要任务是通过系统知识的梳理和实践操作，</w:t>
      </w:r>
      <w:r>
        <w:rPr>
          <w:rFonts w:ascii="宋体" w:hAnsi="宋体" w:eastAsia="宋体" w:cs="Times New Roman"/>
          <w:color w:val="auto"/>
          <w:sz w:val="24"/>
          <w:szCs w:val="24"/>
        </w:rPr>
        <w:t>培养学生严谨的科学态度和</w:t>
      </w:r>
      <w:r>
        <w:rPr>
          <w:rFonts w:hint="eastAsia" w:ascii="宋体" w:hAnsi="宋体" w:eastAsia="宋体" w:cs="Times New Roman"/>
          <w:color w:val="auto"/>
          <w:sz w:val="24"/>
          <w:szCs w:val="24"/>
        </w:rPr>
        <w:t>工程观念</w:t>
      </w:r>
      <w:r>
        <w:rPr>
          <w:rFonts w:ascii="宋体" w:hAnsi="宋体" w:eastAsia="宋体" w:cs="Times New Roman"/>
          <w:color w:val="auto"/>
          <w:sz w:val="24"/>
          <w:szCs w:val="24"/>
        </w:rPr>
        <w:t>；培养学生分析问题和解决问题的能力；</w:t>
      </w:r>
      <w:r>
        <w:rPr>
          <w:rFonts w:hint="eastAsia" w:ascii="宋体" w:hAnsi="宋体" w:eastAsia="宋体"/>
          <w:color w:val="auto"/>
          <w:sz w:val="24"/>
        </w:rPr>
        <w:t>提高学生融会贯通、举一反三的能力，提升学生的逻辑思维能力和实际动手能力，进一步了解相应行业的职业规范工作，增强学生的专业认同感和职业意识，提高学生的职业素养与综合能力。</w:t>
      </w:r>
    </w:p>
    <w:p>
      <w:pPr>
        <w:spacing w:before="100" w:beforeAutospacing="1" w:after="100" w:afterAutospacing="1"/>
        <w:outlineLvl w:val="2"/>
        <w:rPr>
          <w:rFonts w:ascii="宋体" w:hAnsi="宋体" w:eastAsia="宋体"/>
          <w:bCs/>
          <w:color w:val="auto"/>
          <w:sz w:val="24"/>
        </w:rPr>
      </w:pPr>
      <w:bookmarkStart w:id="50" w:name="_Toc7951"/>
      <w:bookmarkStart w:id="51" w:name="_Toc26526"/>
      <w:bookmarkStart w:id="52" w:name="_Toc11075"/>
      <w:bookmarkStart w:id="53" w:name="_Toc22072"/>
      <w:bookmarkStart w:id="54" w:name="_Toc3096"/>
      <w:r>
        <w:rPr>
          <w:rFonts w:hint="eastAsia" w:ascii="宋体" w:hAnsi="宋体" w:eastAsia="宋体"/>
          <w:bCs/>
          <w:color w:val="auto"/>
          <w:sz w:val="24"/>
        </w:rPr>
        <w:t>5.顶岗实习</w:t>
      </w:r>
      <w:bookmarkEnd w:id="50"/>
      <w:bookmarkEnd w:id="51"/>
      <w:bookmarkEnd w:id="52"/>
      <w:bookmarkEnd w:id="53"/>
      <w:bookmarkEnd w:id="54"/>
    </w:p>
    <w:p>
      <w:pPr>
        <w:spacing w:before="100" w:beforeAutospacing="1" w:after="100" w:afterAutospacing="1"/>
        <w:ind w:firstLine="480" w:firstLineChars="200"/>
        <w:rPr>
          <w:rFonts w:ascii="宋体" w:hAnsi="宋体" w:eastAsia="宋体"/>
          <w:bCs/>
          <w:color w:val="auto"/>
          <w:sz w:val="24"/>
        </w:rPr>
      </w:pPr>
      <w:r>
        <w:rPr>
          <w:rFonts w:ascii="宋体" w:hAnsi="宋体" w:eastAsia="宋体"/>
          <w:bCs/>
          <w:color w:val="auto"/>
          <w:sz w:val="24"/>
        </w:rPr>
        <w:t>顶岗实习是本专业学生职业技能和职业岗位工作能力培养的重要实践教学环节，通过顶岗实习，使学生更好地将理论与实践相结合，全面巩固、锻炼实践操作技能，为就业打下坚实基础。顶岗实习的主要任务是让学生熟悉</w:t>
      </w:r>
      <w:r>
        <w:rPr>
          <w:rFonts w:hint="eastAsia" w:ascii="宋体" w:hAnsi="宋体" w:eastAsia="宋体"/>
          <w:bCs/>
          <w:color w:val="auto"/>
          <w:sz w:val="24"/>
        </w:rPr>
        <w:t>化工行业</w:t>
      </w:r>
      <w:r>
        <w:rPr>
          <w:rFonts w:ascii="宋体" w:hAnsi="宋体" w:eastAsia="宋体"/>
          <w:bCs/>
          <w:color w:val="auto"/>
          <w:sz w:val="24"/>
        </w:rPr>
        <w:t>工作的性质和职责，进一步掌握</w:t>
      </w:r>
      <w:r>
        <w:rPr>
          <w:rFonts w:hint="eastAsia" w:ascii="宋体" w:hAnsi="宋体" w:eastAsia="宋体"/>
          <w:bCs/>
          <w:color w:val="auto"/>
          <w:sz w:val="24"/>
        </w:rPr>
        <w:t>化工涉及的</w:t>
      </w:r>
      <w:r>
        <w:rPr>
          <w:rFonts w:ascii="宋体" w:hAnsi="宋体" w:eastAsia="宋体"/>
          <w:bCs/>
          <w:color w:val="auto"/>
          <w:sz w:val="24"/>
        </w:rPr>
        <w:t>基本内容和特点;通过在企业实习的全部工作，培养学生对</w:t>
      </w:r>
      <w:r>
        <w:rPr>
          <w:rFonts w:hint="eastAsia" w:ascii="宋体" w:hAnsi="宋体" w:eastAsia="宋体"/>
          <w:bCs/>
          <w:color w:val="auto"/>
          <w:sz w:val="24"/>
        </w:rPr>
        <w:t>化工</w:t>
      </w:r>
      <w:r>
        <w:rPr>
          <w:rFonts w:ascii="宋体" w:hAnsi="宋体" w:eastAsia="宋体"/>
          <w:bCs/>
          <w:color w:val="auto"/>
          <w:sz w:val="24"/>
        </w:rPr>
        <w:t>知识的综合应用能力，吸取企业的优良品质和敬业精神，增强适应岗位的能力。</w:t>
      </w:r>
    </w:p>
    <w:p>
      <w:pPr>
        <w:spacing w:before="100" w:beforeAutospacing="1" w:after="100" w:afterAutospacing="1"/>
        <w:rPr>
          <w:rFonts w:ascii="宋体" w:hAnsi="宋体" w:eastAsia="宋体"/>
          <w:color w:val="auto"/>
          <w:sz w:val="24"/>
        </w:rPr>
      </w:pPr>
      <w:r>
        <w:rPr>
          <w:rFonts w:hint="eastAsia" w:ascii="宋体" w:hAnsi="宋体" w:eastAsia="宋体"/>
          <w:color w:val="auto"/>
          <w:sz w:val="24"/>
        </w:rPr>
        <w:t>6、课程结构图</w:t>
      </w:r>
    </w:p>
    <w:p>
      <w:pPr>
        <w:spacing w:before="100" w:beforeAutospacing="1" w:after="100" w:afterAutospacing="1"/>
        <w:ind w:firstLine="480"/>
        <w:rPr>
          <w:rFonts w:ascii="宋体" w:hAnsi="宋体" w:eastAsia="宋体"/>
          <w:color w:val="auto"/>
          <w:sz w:val="24"/>
        </w:rPr>
      </w:pPr>
      <w:r>
        <w:rPr>
          <w:rFonts w:hint="eastAsia" w:ascii="宋体" w:hAnsi="宋体" w:eastAsia="宋体" w:cs="仿宋"/>
          <w:color w:val="auto"/>
          <w:sz w:val="24"/>
        </w:rPr>
        <w:t>通过调研社会对于化工专业人才的需要，结合学生自身学情分析，针对化工专业毕业生从事的岗位（群），获得典型工作任务，对典型工作任务进行归纳，</w:t>
      </w:r>
      <w:r>
        <w:rPr>
          <w:rFonts w:hint="eastAsia" w:ascii="宋体" w:hAnsi="宋体" w:eastAsia="宋体" w:cs="仿宋"/>
          <w:bCs/>
          <w:color w:val="auto"/>
          <w:sz w:val="24"/>
        </w:rPr>
        <w:t>分析岗位（群）的职业能力，构建特色课程体系，</w:t>
      </w:r>
      <w:r>
        <w:rPr>
          <w:rFonts w:hint="eastAsia" w:ascii="宋体" w:hAnsi="宋体" w:eastAsia="宋体" w:cs="仿宋"/>
          <w:color w:val="auto"/>
          <w:sz w:val="24"/>
        </w:rPr>
        <w:t>并依据国家职业资格标准要求，将化工专业课程体系划分为公共基础课程模块、专业必修及专业选修课程模块</w:t>
      </w:r>
      <w:r>
        <w:rPr>
          <w:rFonts w:hint="eastAsia" w:ascii="宋体" w:hAnsi="宋体" w:eastAsia="宋体"/>
          <w:color w:val="auto"/>
          <w:sz w:val="24"/>
        </w:rPr>
        <w:t>，具体课程体系如下所示：</w:t>
      </w:r>
    </w:p>
    <w:p>
      <w:pPr>
        <w:spacing w:before="100" w:beforeAutospacing="1" w:after="100" w:afterAutospacing="1"/>
        <w:ind w:firstLine="480"/>
        <w:jc w:val="center"/>
        <w:rPr>
          <w:rFonts w:ascii="宋体" w:hAnsi="宋体" w:eastAsia="宋体"/>
          <w:color w:val="auto"/>
          <w:sz w:val="24"/>
        </w:rPr>
      </w:pPr>
      <w:r>
        <w:rPr>
          <w:rFonts w:ascii="宋体" w:hAnsi="宋体" w:eastAsia="宋体"/>
          <w:color w:val="auto"/>
          <w:sz w:val="24"/>
        </w:rPr>
        <w:drawing>
          <wp:anchor distT="0" distB="0" distL="114300" distR="114300" simplePos="0" relativeHeight="251659264" behindDoc="0" locked="0" layoutInCell="1" allowOverlap="1">
            <wp:simplePos x="0" y="0"/>
            <wp:positionH relativeFrom="column">
              <wp:posOffset>968375</wp:posOffset>
            </wp:positionH>
            <wp:positionV relativeFrom="paragraph">
              <wp:posOffset>1242695</wp:posOffset>
            </wp:positionV>
            <wp:extent cx="4426585" cy="2420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26858" cy="2420464"/>
                    </a:xfrm>
                    <a:prstGeom prst="rect">
                      <a:avLst/>
                    </a:prstGeom>
                    <a:noFill/>
                  </pic:spPr>
                </pic:pic>
              </a:graphicData>
            </a:graphic>
          </wp:anchor>
        </w:drawing>
      </w:r>
      <w:r>
        <w:rPr>
          <w:color w:val="auto"/>
        </w:rPr>
        <w:drawing>
          <wp:inline distT="0" distB="0" distL="0" distR="0">
            <wp:extent cx="4208780" cy="1229360"/>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216515" cy="1231728"/>
                    </a:xfrm>
                    <a:prstGeom prst="rect">
                      <a:avLst/>
                    </a:prstGeom>
                  </pic:spPr>
                </pic:pic>
              </a:graphicData>
            </a:graphic>
          </wp:inline>
        </w:drawing>
      </w:r>
    </w:p>
    <w:p>
      <w:pPr>
        <w:spacing w:before="100" w:beforeAutospacing="1" w:after="100" w:afterAutospacing="1"/>
        <w:ind w:firstLine="480"/>
        <w:rPr>
          <w:rFonts w:ascii="宋体" w:hAnsi="宋体" w:eastAsia="宋体"/>
          <w:color w:val="auto"/>
          <w:sz w:val="24"/>
        </w:rPr>
      </w:pPr>
    </w:p>
    <w:p>
      <w:pPr>
        <w:spacing w:before="100" w:beforeAutospacing="1" w:after="100" w:afterAutospacing="1"/>
        <w:ind w:firstLine="480"/>
        <w:rPr>
          <w:rFonts w:ascii="宋体" w:hAnsi="宋体" w:eastAsia="宋体"/>
          <w:color w:val="auto"/>
          <w:sz w:val="24"/>
        </w:rPr>
      </w:pPr>
    </w:p>
    <w:p>
      <w:pPr>
        <w:spacing w:before="100" w:beforeAutospacing="1" w:after="100" w:afterAutospacing="1"/>
        <w:ind w:firstLine="480"/>
        <w:rPr>
          <w:rFonts w:ascii="宋体" w:hAnsi="宋体" w:eastAsia="宋体"/>
          <w:color w:val="auto"/>
          <w:sz w:val="24"/>
        </w:rPr>
      </w:pPr>
    </w:p>
    <w:p>
      <w:pPr>
        <w:spacing w:before="100" w:beforeAutospacing="1" w:after="100" w:afterAutospacing="1"/>
        <w:ind w:firstLine="480"/>
        <w:rPr>
          <w:rFonts w:ascii="宋体" w:hAnsi="宋体" w:eastAsia="宋体"/>
          <w:color w:val="auto"/>
          <w:sz w:val="24"/>
        </w:rPr>
      </w:pPr>
    </w:p>
    <w:p>
      <w:pPr>
        <w:spacing w:before="100" w:beforeAutospacing="1" w:after="100" w:afterAutospacing="1"/>
        <w:ind w:firstLine="480"/>
        <w:rPr>
          <w:rFonts w:ascii="宋体" w:hAnsi="宋体" w:eastAsia="宋体"/>
          <w:color w:val="auto"/>
          <w:sz w:val="24"/>
        </w:rPr>
      </w:pPr>
    </w:p>
    <w:p>
      <w:pPr>
        <w:spacing w:before="100" w:beforeAutospacing="1" w:after="100" w:afterAutospacing="1"/>
        <w:ind w:firstLine="480"/>
        <w:rPr>
          <w:rFonts w:ascii="宋体" w:hAnsi="宋体" w:eastAsia="宋体"/>
          <w:color w:val="auto"/>
          <w:sz w:val="24"/>
        </w:rPr>
      </w:pPr>
    </w:p>
    <w:p>
      <w:pPr>
        <w:pStyle w:val="2"/>
        <w:jc w:val="both"/>
        <w:rPr>
          <w:color w:val="auto"/>
        </w:rPr>
      </w:pPr>
      <w:r>
        <w:rPr>
          <w:rFonts w:hint="eastAsia"/>
          <w:color w:val="auto"/>
        </w:rPr>
        <w:t>七、学时</w:t>
      </w:r>
      <w:r>
        <w:rPr>
          <w:color w:val="auto"/>
        </w:rPr>
        <w:t>安排</w:t>
      </w:r>
    </w:p>
    <w:p>
      <w:pPr>
        <w:spacing w:before="100" w:beforeAutospacing="1" w:after="100" w:afterAutospacing="1"/>
        <w:ind w:right="1" w:firstLine="435"/>
        <w:rPr>
          <w:rFonts w:ascii="宋体" w:hAnsi="宋体" w:eastAsia="宋体" w:cs="宋体"/>
          <w:color w:val="auto"/>
          <w:sz w:val="24"/>
        </w:rPr>
      </w:pPr>
      <w:r>
        <w:rPr>
          <w:rFonts w:hint="eastAsia" w:ascii="宋体" w:hAnsi="宋体" w:eastAsia="宋体" w:cs="宋体"/>
          <w:color w:val="auto"/>
          <w:sz w:val="24"/>
        </w:rPr>
        <w:t>总学时一般为 4520 学时 , 每 20 ~22 学时折算 1 学分 。公共基础课学时一般不少于总学时的 25% 。实践性教学学时原则上不少于总学时的 50% , 其中 , 顶岗实习累计时间一般为 6 个月 , 可根据实际集中或分阶段安排实习时间 。 各类选修课程学时累计不少于总学时的 10%。</w:t>
      </w:r>
    </w:p>
    <w:p>
      <w:pPr>
        <w:pStyle w:val="54"/>
        <w:adjustRightInd w:val="0"/>
        <w:snapToGrid w:val="0"/>
        <w:spacing w:before="100" w:beforeAutospacing="1" w:after="100" w:afterAutospacing="1"/>
        <w:outlineLvl w:val="1"/>
        <w:rPr>
          <w:rFonts w:ascii="宋体" w:hAnsi="宋体" w:eastAsia="宋体" w:cs="宋体"/>
          <w:color w:val="auto"/>
          <w:sz w:val="24"/>
        </w:rPr>
      </w:pPr>
      <w:bookmarkStart w:id="55" w:name="_Toc8168"/>
      <w:bookmarkStart w:id="56" w:name="_Toc728"/>
      <w:bookmarkStart w:id="57" w:name="_Toc17267"/>
      <w:bookmarkStart w:id="58" w:name="_Toc29171"/>
      <w:bookmarkStart w:id="59" w:name="_Toc933"/>
      <w:bookmarkStart w:id="60" w:name="_Toc18779"/>
      <w:bookmarkStart w:id="61" w:name="_Toc31015"/>
      <w:r>
        <w:rPr>
          <w:rFonts w:hint="eastAsia" w:ascii="宋体" w:hAnsi="宋体" w:eastAsia="宋体" w:cs="宋体"/>
          <w:color w:val="auto"/>
          <w:sz w:val="24"/>
        </w:rPr>
        <w:t>（一）教学要求</w:t>
      </w:r>
      <w:bookmarkEnd w:id="55"/>
      <w:bookmarkEnd w:id="56"/>
      <w:bookmarkEnd w:id="57"/>
      <w:bookmarkEnd w:id="58"/>
      <w:bookmarkEnd w:id="59"/>
      <w:bookmarkEnd w:id="60"/>
      <w:bookmarkEnd w:id="61"/>
    </w:p>
    <w:p>
      <w:pPr>
        <w:pStyle w:val="54"/>
        <w:adjustRightInd w:val="0"/>
        <w:snapToGrid w:val="0"/>
        <w:spacing w:before="100" w:beforeAutospacing="1" w:after="100" w:afterAutospacing="1"/>
        <w:outlineLvl w:val="2"/>
        <w:rPr>
          <w:rFonts w:ascii="宋体" w:hAnsi="宋体" w:eastAsia="宋体" w:cs="宋体"/>
          <w:color w:val="auto"/>
          <w:sz w:val="24"/>
        </w:rPr>
      </w:pPr>
      <w:bookmarkStart w:id="62" w:name="_Toc28935"/>
      <w:bookmarkStart w:id="63" w:name="_Toc5579"/>
      <w:bookmarkStart w:id="64" w:name="_Toc21695"/>
      <w:bookmarkStart w:id="65" w:name="_Toc22741"/>
      <w:bookmarkStart w:id="66" w:name="_Toc14193"/>
      <w:r>
        <w:rPr>
          <w:rFonts w:hint="eastAsia" w:ascii="宋体" w:hAnsi="宋体" w:eastAsia="宋体" w:cs="宋体"/>
          <w:color w:val="auto"/>
          <w:sz w:val="24"/>
        </w:rPr>
        <w:t>1.公共基础课</w:t>
      </w:r>
      <w:bookmarkEnd w:id="62"/>
      <w:bookmarkEnd w:id="63"/>
      <w:bookmarkEnd w:id="64"/>
      <w:bookmarkEnd w:id="65"/>
      <w:bookmarkEnd w:id="66"/>
    </w:p>
    <w:p>
      <w:pPr>
        <w:pStyle w:val="54"/>
        <w:adjustRightInd w:val="0"/>
        <w:snapToGrid w:val="0"/>
        <w:spacing w:before="100" w:beforeAutospacing="1" w:after="100" w:afterAutospacing="1"/>
        <w:rPr>
          <w:rFonts w:ascii="宋体" w:hAnsi="宋体" w:eastAsia="宋体" w:cs="宋体"/>
          <w:color w:val="auto"/>
          <w:sz w:val="24"/>
        </w:rPr>
      </w:pPr>
      <w:r>
        <w:rPr>
          <w:rFonts w:hint="eastAsia" w:ascii="宋体" w:hAnsi="宋体" w:eastAsia="宋体" w:cs="宋体"/>
          <w:color w:val="auto"/>
          <w:sz w:val="24"/>
        </w:rPr>
        <w:t xml:space="preserve">    公共基础课教学要符合教育部有关教育教学的基本要求，按照培养学生基本科学文化素养、服务学生专业学习和终身发展的功能来定位，在教学方法、教学组织形式的改革，教学手段、教学模式的创新，调动学生学习积极性，为学生综合素质的提高、职业能力的形成和可持续发展奠定基础。</w:t>
      </w:r>
    </w:p>
    <w:p>
      <w:pPr>
        <w:pStyle w:val="54"/>
        <w:numPr>
          <w:ilvl w:val="0"/>
          <w:numId w:val="5"/>
        </w:numPr>
        <w:adjustRightInd w:val="0"/>
        <w:snapToGrid w:val="0"/>
        <w:spacing w:before="100" w:beforeAutospacing="1" w:after="100" w:afterAutospacing="1"/>
        <w:outlineLvl w:val="2"/>
        <w:rPr>
          <w:rFonts w:ascii="宋体" w:hAnsi="宋体" w:eastAsia="宋体" w:cs="宋体"/>
          <w:color w:val="auto"/>
          <w:sz w:val="24"/>
        </w:rPr>
      </w:pPr>
      <w:bookmarkStart w:id="67" w:name="_Toc30666"/>
      <w:bookmarkStart w:id="68" w:name="_Toc23522"/>
      <w:bookmarkStart w:id="69" w:name="_Toc26810"/>
      <w:bookmarkStart w:id="70" w:name="_Toc17554"/>
      <w:bookmarkStart w:id="71" w:name="_Toc22356"/>
      <w:r>
        <w:rPr>
          <w:rFonts w:hint="eastAsia" w:ascii="宋体" w:hAnsi="宋体" w:eastAsia="宋体" w:cs="宋体"/>
          <w:color w:val="auto"/>
          <w:sz w:val="24"/>
        </w:rPr>
        <w:t>专业技能课</w:t>
      </w:r>
      <w:bookmarkEnd w:id="67"/>
      <w:bookmarkEnd w:id="68"/>
      <w:bookmarkEnd w:id="69"/>
      <w:bookmarkEnd w:id="70"/>
      <w:bookmarkEnd w:id="71"/>
    </w:p>
    <w:p>
      <w:pPr>
        <w:pStyle w:val="54"/>
        <w:adjustRightInd w:val="0"/>
        <w:snapToGrid w:val="0"/>
        <w:spacing w:before="100" w:beforeAutospacing="1" w:after="100" w:afterAutospacing="1"/>
        <w:ind w:firstLine="420"/>
        <w:rPr>
          <w:rFonts w:ascii="宋体" w:hAnsi="宋体" w:eastAsia="宋体" w:cs="宋体"/>
          <w:color w:val="auto"/>
          <w:sz w:val="24"/>
        </w:rPr>
      </w:pPr>
      <w:r>
        <w:rPr>
          <w:rFonts w:hint="eastAsia" w:ascii="宋体" w:hAnsi="宋体" w:eastAsia="宋体" w:cs="宋体"/>
          <w:color w:val="auto"/>
          <w:sz w:val="24"/>
        </w:rPr>
        <w:t>根据专业培养目标，结合企业生产和生活实际，选择合适的教学内容，大力对课程内容进行整合，在课程内容编排上，合理规划，集综合项目、任务实践、理论知识于一体，强化技能训练，在实践中寻找理论和知识点，增强课程的灵活性、使用性与实践性。</w:t>
      </w:r>
    </w:p>
    <w:p>
      <w:pPr>
        <w:pStyle w:val="54"/>
        <w:numPr>
          <w:ilvl w:val="0"/>
          <w:numId w:val="6"/>
        </w:numPr>
        <w:adjustRightInd w:val="0"/>
        <w:snapToGrid w:val="0"/>
        <w:spacing w:before="100" w:beforeAutospacing="1" w:after="100" w:afterAutospacing="1"/>
        <w:outlineLvl w:val="1"/>
        <w:rPr>
          <w:rFonts w:ascii="宋体" w:hAnsi="宋体" w:eastAsia="宋体" w:cs="宋体"/>
          <w:color w:val="auto"/>
          <w:sz w:val="24"/>
        </w:rPr>
      </w:pPr>
      <w:bookmarkStart w:id="72" w:name="_Toc17270"/>
      <w:bookmarkStart w:id="73" w:name="_Toc23109"/>
      <w:bookmarkStart w:id="74" w:name="_Toc15170"/>
      <w:bookmarkStart w:id="75" w:name="_Toc5051"/>
      <w:bookmarkStart w:id="76" w:name="_Toc6826"/>
      <w:bookmarkStart w:id="77" w:name="_Toc12048"/>
      <w:bookmarkStart w:id="78" w:name="_Toc28527"/>
      <w:r>
        <w:rPr>
          <w:rFonts w:hint="eastAsia" w:ascii="宋体" w:hAnsi="宋体" w:eastAsia="宋体" w:cs="宋体"/>
          <w:color w:val="auto"/>
          <w:sz w:val="24"/>
        </w:rPr>
        <w:t>教学管理</w:t>
      </w:r>
      <w:bookmarkEnd w:id="72"/>
      <w:bookmarkEnd w:id="73"/>
      <w:bookmarkEnd w:id="74"/>
      <w:bookmarkEnd w:id="75"/>
      <w:bookmarkEnd w:id="76"/>
      <w:bookmarkEnd w:id="77"/>
      <w:bookmarkEnd w:id="78"/>
    </w:p>
    <w:p>
      <w:pPr>
        <w:pStyle w:val="54"/>
        <w:adjustRightInd w:val="0"/>
        <w:snapToGrid w:val="0"/>
        <w:spacing w:before="100" w:beforeAutospacing="1" w:after="100" w:afterAutospacing="1"/>
        <w:ind w:firstLine="480"/>
        <w:rPr>
          <w:rFonts w:ascii="宋体" w:hAnsi="宋体" w:eastAsia="宋体" w:cs="宋体"/>
          <w:color w:val="auto"/>
          <w:sz w:val="24"/>
        </w:rPr>
      </w:pPr>
      <w:r>
        <w:rPr>
          <w:rFonts w:hint="eastAsia" w:ascii="宋体" w:hAnsi="宋体" w:eastAsia="宋体" w:cs="宋体"/>
          <w:color w:val="auto"/>
          <w:sz w:val="24"/>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pStyle w:val="54"/>
        <w:adjustRightInd w:val="0"/>
        <w:snapToGrid w:val="0"/>
        <w:spacing w:before="100" w:beforeAutospacing="1" w:after="100" w:afterAutospacing="1"/>
        <w:outlineLvl w:val="1"/>
        <w:rPr>
          <w:rFonts w:ascii="宋体" w:hAnsi="宋体" w:eastAsia="宋体" w:cs="宋体"/>
          <w:color w:val="auto"/>
          <w:sz w:val="24"/>
        </w:rPr>
      </w:pPr>
      <w:bookmarkStart w:id="79" w:name="_Toc29884"/>
      <w:bookmarkStart w:id="80" w:name="_Toc22441"/>
      <w:bookmarkStart w:id="81" w:name="_Toc3788"/>
      <w:bookmarkStart w:id="82" w:name="_Toc5470"/>
      <w:r>
        <w:rPr>
          <w:rFonts w:hint="eastAsia" w:ascii="宋体" w:hAnsi="宋体" w:eastAsia="宋体" w:cs="宋体"/>
          <w:color w:val="auto"/>
          <w:sz w:val="24"/>
        </w:rPr>
        <w:t>（三）支持信息化教学方面的基本要求</w:t>
      </w:r>
      <w:bookmarkEnd w:id="79"/>
      <w:bookmarkEnd w:id="80"/>
      <w:bookmarkEnd w:id="81"/>
      <w:bookmarkEnd w:id="82"/>
    </w:p>
    <w:p>
      <w:pPr>
        <w:pStyle w:val="54"/>
        <w:adjustRightInd w:val="0"/>
        <w:snapToGrid w:val="0"/>
        <w:spacing w:before="100" w:beforeAutospacing="1" w:after="100" w:afterAutospacing="1"/>
        <w:ind w:firstLine="480"/>
        <w:rPr>
          <w:rFonts w:ascii="宋体" w:hAnsi="宋体" w:eastAsia="宋体" w:cs="宋体"/>
          <w:color w:val="auto"/>
          <w:sz w:val="24"/>
        </w:rPr>
      </w:pPr>
      <w:r>
        <w:rPr>
          <w:rFonts w:hint="eastAsia" w:ascii="宋体" w:hAnsi="宋体" w:eastAsia="宋体" w:cs="宋体"/>
          <w:color w:val="auto"/>
          <w:sz w:val="24"/>
        </w:rPr>
        <w:t>支持信息化教学方面的基本要求为: 具有可利用的数字化教学资源库 、文献资料 、常见问题解答等信息化条件; 鼓励教师开发并利用信息化教学资源 、教学平台 , 创新教学方法 , 引导学生利用信息化教学条件自主学习 , 提升教学效果。</w:t>
      </w:r>
    </w:p>
    <w:p>
      <w:pPr>
        <w:pStyle w:val="54"/>
        <w:adjustRightInd w:val="0"/>
        <w:snapToGrid w:val="0"/>
        <w:spacing w:before="100" w:beforeAutospacing="1" w:after="100" w:afterAutospacing="1"/>
        <w:outlineLvl w:val="0"/>
        <w:rPr>
          <w:rFonts w:ascii="宋体" w:hAnsi="宋体" w:eastAsia="宋体" w:cs="宋体"/>
          <w:color w:val="auto"/>
          <w:sz w:val="24"/>
        </w:rPr>
      </w:pPr>
      <w:r>
        <w:rPr>
          <w:rFonts w:hint="eastAsia" w:ascii="宋体" w:hAnsi="宋体" w:eastAsia="宋体"/>
          <w:b/>
          <w:bCs/>
          <w:color w:val="auto"/>
          <w:sz w:val="28"/>
          <w:szCs w:val="28"/>
        </w:rPr>
        <w:t>八．【教学进程总体安排】</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655"/>
        <w:gridCol w:w="371"/>
        <w:gridCol w:w="1618"/>
        <w:gridCol w:w="849"/>
        <w:gridCol w:w="14"/>
        <w:gridCol w:w="907"/>
        <w:gridCol w:w="705"/>
        <w:gridCol w:w="281"/>
        <w:gridCol w:w="683"/>
        <w:gridCol w:w="323"/>
        <w:gridCol w:w="544"/>
        <w:gridCol w:w="520"/>
        <w:gridCol w:w="327"/>
        <w:gridCol w:w="697"/>
        <w:gridCol w:w="1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课程类别</w:t>
            </w:r>
          </w:p>
        </w:tc>
        <w:tc>
          <w:tcPr>
            <w:tcW w:w="998" w:type="pct"/>
            <w:gridSpan w:val="2"/>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课程名称</w:t>
            </w:r>
          </w:p>
        </w:tc>
        <w:tc>
          <w:tcPr>
            <w:tcW w:w="433" w:type="pct"/>
            <w:gridSpan w:val="2"/>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学时</w:t>
            </w:r>
          </w:p>
        </w:tc>
        <w:tc>
          <w:tcPr>
            <w:tcW w:w="2946" w:type="pct"/>
            <w:gridSpan w:val="11"/>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3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w:t>
            </w: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2</w:t>
            </w: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3</w:t>
            </w: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w:t>
            </w: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5</w:t>
            </w: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p>
            <w:pPr>
              <w:pStyle w:val="54"/>
              <w:adjustRightInd w:val="0"/>
              <w:snapToGrid w:val="0"/>
              <w:spacing w:before="100" w:beforeAutospacing="1" w:after="100" w:afterAutospacing="1"/>
              <w:rPr>
                <w:rFonts w:ascii="宋体" w:hAnsi="宋体" w:eastAsia="宋体" w:cs="宋体"/>
                <w:color w:val="auto"/>
                <w:sz w:val="24"/>
              </w:rPr>
            </w:pP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公</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共</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基</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础</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课</w:t>
            </w: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职业生涯规划</w:t>
            </w:r>
          </w:p>
        </w:tc>
        <w:tc>
          <w:tcPr>
            <w:tcW w:w="43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职业道德与法律</w:t>
            </w:r>
          </w:p>
        </w:tc>
        <w:tc>
          <w:tcPr>
            <w:tcW w:w="43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心理健康</w:t>
            </w:r>
          </w:p>
        </w:tc>
        <w:tc>
          <w:tcPr>
            <w:tcW w:w="43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哲学与人生</w:t>
            </w:r>
          </w:p>
        </w:tc>
        <w:tc>
          <w:tcPr>
            <w:tcW w:w="43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语文</w:t>
            </w:r>
          </w:p>
        </w:tc>
        <w:tc>
          <w:tcPr>
            <w:tcW w:w="43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560</w:t>
            </w: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140</w:t>
            </w: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140</w:t>
            </w: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140</w:t>
            </w: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140</w:t>
            </w: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数学</w:t>
            </w:r>
          </w:p>
        </w:tc>
        <w:tc>
          <w:tcPr>
            <w:tcW w:w="433"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480</w:t>
            </w:r>
          </w:p>
        </w:tc>
        <w:tc>
          <w:tcPr>
            <w:tcW w:w="455" w:type="pct"/>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120</w:t>
            </w:r>
          </w:p>
        </w:tc>
        <w:tc>
          <w:tcPr>
            <w:tcW w:w="495"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120</w:t>
            </w:r>
          </w:p>
        </w:tc>
        <w:tc>
          <w:tcPr>
            <w:tcW w:w="505"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120</w:t>
            </w:r>
          </w:p>
        </w:tc>
        <w:tc>
          <w:tcPr>
            <w:tcW w:w="534"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120</w:t>
            </w: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英语</w:t>
            </w:r>
          </w:p>
        </w:tc>
        <w:tc>
          <w:tcPr>
            <w:tcW w:w="433"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280</w:t>
            </w:r>
          </w:p>
        </w:tc>
        <w:tc>
          <w:tcPr>
            <w:tcW w:w="455" w:type="pct"/>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60</w:t>
            </w:r>
          </w:p>
        </w:tc>
        <w:tc>
          <w:tcPr>
            <w:tcW w:w="495"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60</w:t>
            </w: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体育与健康</w:t>
            </w:r>
          </w:p>
        </w:tc>
        <w:tc>
          <w:tcPr>
            <w:tcW w:w="43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160</w:t>
            </w: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公共基础课小计</w:t>
            </w:r>
          </w:p>
        </w:tc>
        <w:tc>
          <w:tcPr>
            <w:tcW w:w="433"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1640</w:t>
            </w:r>
          </w:p>
        </w:tc>
        <w:tc>
          <w:tcPr>
            <w:tcW w:w="455"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9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0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3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51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43"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课 程</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类 别</w:t>
            </w:r>
          </w:p>
        </w:tc>
        <w:tc>
          <w:tcPr>
            <w:tcW w:w="998" w:type="pct"/>
            <w:gridSpan w:val="2"/>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课程名称</w:t>
            </w:r>
          </w:p>
        </w:tc>
        <w:tc>
          <w:tcPr>
            <w:tcW w:w="426" w:type="pct"/>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学时</w:t>
            </w:r>
          </w:p>
        </w:tc>
        <w:tc>
          <w:tcPr>
            <w:tcW w:w="2953" w:type="pct"/>
            <w:gridSpan w:val="1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6"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w:t>
            </w: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2</w:t>
            </w: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3</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5</w:t>
            </w: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p>
            <w:pPr>
              <w:pStyle w:val="54"/>
              <w:adjustRightInd w:val="0"/>
              <w:snapToGrid w:val="0"/>
              <w:spacing w:before="100" w:beforeAutospacing="1" w:after="100" w:afterAutospacing="1"/>
              <w:jc w:val="center"/>
              <w:rPr>
                <w:rFonts w:ascii="宋体" w:hAnsi="宋体" w:eastAsia="宋体" w:cs="宋体"/>
                <w:color w:val="auto"/>
                <w:sz w:val="24"/>
              </w:rPr>
            </w:pPr>
          </w:p>
          <w:p>
            <w:pPr>
              <w:pStyle w:val="54"/>
              <w:adjustRightInd w:val="0"/>
              <w:snapToGrid w:val="0"/>
              <w:spacing w:before="100" w:beforeAutospacing="1" w:after="100" w:afterAutospacing="1"/>
              <w:jc w:val="center"/>
              <w:rPr>
                <w:rFonts w:ascii="宋体" w:hAnsi="宋体" w:eastAsia="宋体" w:cs="宋体"/>
                <w:color w:val="auto"/>
                <w:sz w:val="24"/>
              </w:rPr>
            </w:pPr>
          </w:p>
          <w:p>
            <w:pPr>
              <w:pStyle w:val="54"/>
              <w:adjustRightInd w:val="0"/>
              <w:snapToGrid w:val="0"/>
              <w:spacing w:before="100" w:beforeAutospacing="1" w:after="100" w:afterAutospacing="1"/>
              <w:jc w:val="center"/>
              <w:rPr>
                <w:rFonts w:ascii="宋体" w:hAnsi="宋体" w:eastAsia="宋体" w:cs="宋体"/>
                <w:color w:val="auto"/>
                <w:sz w:val="24"/>
              </w:rPr>
            </w:pPr>
          </w:p>
          <w:p>
            <w:pPr>
              <w:pStyle w:val="54"/>
              <w:adjustRightInd w:val="0"/>
              <w:snapToGrid w:val="0"/>
              <w:spacing w:before="100" w:beforeAutospacing="1" w:after="100" w:afterAutospacing="1"/>
              <w:jc w:val="center"/>
              <w:rPr>
                <w:rFonts w:ascii="宋体" w:hAnsi="宋体" w:eastAsia="宋体" w:cs="宋体"/>
                <w:color w:val="auto"/>
                <w:sz w:val="24"/>
              </w:rPr>
            </w:pP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专</w:t>
            </w:r>
          </w:p>
          <w:p>
            <w:pPr>
              <w:pStyle w:val="54"/>
              <w:adjustRightInd w:val="0"/>
              <w:snapToGrid w:val="0"/>
              <w:spacing w:before="100" w:beforeAutospacing="1" w:after="100" w:afterAutospacing="1"/>
              <w:jc w:val="center"/>
              <w:rPr>
                <w:rFonts w:ascii="宋体" w:hAnsi="宋体" w:eastAsia="宋体" w:cs="宋体"/>
                <w:color w:val="auto"/>
                <w:sz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-231775</wp:posOffset>
                      </wp:positionH>
                      <wp:positionV relativeFrom="paragraph">
                        <wp:posOffset>288290</wp:posOffset>
                      </wp:positionV>
                      <wp:extent cx="6762750" cy="1265555"/>
                      <wp:effectExtent l="19050" t="19050" r="30480" b="26035"/>
                      <wp:wrapNone/>
                      <wp:docPr id="4" name="圆角矩形 4"/>
                      <wp:cNvGraphicFramePr/>
                      <a:graphic xmlns:a="http://schemas.openxmlformats.org/drawingml/2006/main">
                        <a:graphicData uri="http://schemas.microsoft.com/office/word/2010/wordprocessingShape">
                          <wps:wsp>
                            <wps:cNvSpPr/>
                            <wps:spPr>
                              <a:xfrm>
                                <a:off x="454025" y="5864225"/>
                                <a:ext cx="6762750" cy="126555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solidFill>
                                          <w14:srgbClr w14:val="0000FF"/>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25pt;margin-top:22.7pt;height:99.65pt;width:532.5pt;z-index:251660288;v-text-anchor:middle;mso-width-relative:page;mso-height-relative:page;" filled="f" stroked="t" coordsize="21600,21600" arcsize="0.166666666666667" o:gfxdata="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l4QctsAAAALAQAADwAAAAAAAAAB&#10;ACAAAAAiAAAAZHJzL2Rvd25yZXYueG1sUEsBAhQAFAAAAAgAh07iQLOm3LN/AgAA1gQAAA4AAAAA&#10;AAAAAQAgAAAAKgEAAGRycy9lMm9Eb2MueG1sUEsFBgAAAAAGAAYAWQEAABsGAAAAAA==&#10;">
                      <v:fill on="f" focussize="0,0"/>
                      <v:stroke weight="3pt" color="#FF0000 [3204]" joinstyle="round"/>
                      <v:imagedata o:title=""/>
                      <o:lock v:ext="edit" aspectratio="f"/>
                      <v:textbox>
                        <w:txbxContent>
                          <w:p>
                            <w:pPr>
                              <w:jc w:val="center"/>
                              <w:rPr>
                                <w14:textOutline w14:w="9525">
                                  <w14:solidFill>
                                    <w14:srgbClr w14:val="0000FF"/>
                                  </w14:solidFill>
                                  <w14:round/>
                                </w14:textOutline>
                              </w:rPr>
                            </w:pPr>
                          </w:p>
                        </w:txbxContent>
                      </v:textbox>
                    </v:roundrect>
                  </w:pict>
                </mc:Fallback>
              </mc:AlternateContent>
            </w:r>
            <w:r>
              <w:rPr>
                <w:rFonts w:hint="eastAsia" w:ascii="宋体" w:hAnsi="宋体" w:eastAsia="宋体" w:cs="宋体"/>
                <w:color w:val="auto"/>
                <w:sz w:val="24"/>
              </w:rPr>
              <w:t>业</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技</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能</w:t>
            </w: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课</w:t>
            </w:r>
          </w:p>
        </w:tc>
        <w:tc>
          <w:tcPr>
            <w:tcW w:w="329" w:type="pct"/>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专业核心课</w:t>
            </w: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化学</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480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120</w:t>
            </w: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120</w:t>
            </w: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120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120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29"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化工原理</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320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29"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化工分析</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320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94"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29"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烧碱生产与操作</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100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60</w:t>
            </w: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94"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29" w:type="pct"/>
            <w:vMerge w:val="restar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专业技能方向课</w:t>
            </w: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化学实验</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80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20</w:t>
            </w: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20</w:t>
            </w: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20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20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94"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29" w:type="pct"/>
            <w:vMerge w:val="continue"/>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化工原理实验实训</w:t>
            </w:r>
          </w:p>
          <w:p>
            <w:pPr>
              <w:pStyle w:val="54"/>
              <w:adjustRightInd w:val="0"/>
              <w:snapToGrid w:val="0"/>
              <w:spacing w:before="100" w:beforeAutospacing="1" w:after="100" w:afterAutospacing="1"/>
              <w:jc w:val="center"/>
              <w:rPr>
                <w:rFonts w:ascii="宋体" w:hAnsi="宋体" w:eastAsia="宋体" w:cs="宋体"/>
                <w:color w:val="auto"/>
                <w:sz w:val="24"/>
              </w:rPr>
            </w:pP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160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40</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94" w:type="pct"/>
            <w:vMerge w:val="continue"/>
            <w:vAlign w:val="center"/>
          </w:tcPr>
          <w:p>
            <w:pPr>
              <w:pStyle w:val="54"/>
              <w:adjustRightInd w:val="0"/>
              <w:snapToGrid w:val="0"/>
              <w:spacing w:before="100" w:beforeAutospacing="1" w:after="100" w:afterAutospacing="1"/>
              <w:jc w:val="center"/>
              <w:rPr>
                <w:rFonts w:ascii="宋体" w:hAnsi="宋体" w:eastAsia="宋体"/>
                <w:color w:val="auto"/>
              </w:rPr>
            </w:pPr>
          </w:p>
        </w:tc>
        <w:tc>
          <w:tcPr>
            <w:tcW w:w="329" w:type="pct"/>
            <w:vMerge w:val="continue"/>
            <w:vAlign w:val="center"/>
          </w:tcPr>
          <w:p>
            <w:pPr>
              <w:pStyle w:val="54"/>
              <w:adjustRightInd w:val="0"/>
              <w:snapToGrid w:val="0"/>
              <w:spacing w:before="100" w:beforeAutospacing="1" w:after="100" w:afterAutospacing="1"/>
              <w:jc w:val="center"/>
              <w:rPr>
                <w:rFonts w:ascii="宋体" w:hAnsi="宋体" w:eastAsia="宋体"/>
                <w:color w:val="auto"/>
              </w:rPr>
            </w:pPr>
          </w:p>
        </w:tc>
        <w:tc>
          <w:tcPr>
            <w:tcW w:w="998"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pacing w:val="6"/>
                <w:sz w:val="23"/>
                <w:szCs w:val="23"/>
                <w:lang w:val="en-US" w:eastAsia="zh-CN"/>
              </w:rPr>
              <w:t>化工分析实训课程</w:t>
            </w:r>
          </w:p>
        </w:tc>
        <w:tc>
          <w:tcPr>
            <w:tcW w:w="426" w:type="pct"/>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184</w:t>
            </w:r>
          </w:p>
        </w:tc>
        <w:tc>
          <w:tcPr>
            <w:tcW w:w="816" w:type="pct"/>
            <w:gridSpan w:val="3"/>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38</w:t>
            </w:r>
          </w:p>
        </w:tc>
        <w:tc>
          <w:tcPr>
            <w:tcW w:w="484" w:type="pct"/>
            <w:gridSpan w:val="2"/>
            <w:vAlign w:val="center"/>
          </w:tcPr>
          <w:p>
            <w:pPr>
              <w:pStyle w:val="54"/>
              <w:adjustRightInd w:val="0"/>
              <w:snapToGrid w:val="0"/>
              <w:spacing w:before="100" w:beforeAutospacing="1" w:after="100" w:afterAutospacing="1"/>
              <w:jc w:val="center"/>
              <w:rPr>
                <w:rFonts w:hint="eastAsia" w:ascii="宋体" w:hAnsi="宋体" w:eastAsia="宋体" w:cs="宋体"/>
                <w:color w:val="auto"/>
                <w:sz w:val="24"/>
                <w:lang w:val="en-US" w:eastAsia="zh-CN"/>
              </w:rPr>
            </w:pPr>
            <w:r>
              <w:rPr>
                <w:rFonts w:hint="eastAsia" w:ascii="宋体" w:hAnsi="宋体" w:eastAsia="宋体" w:cs="宋体"/>
                <w:color w:val="auto"/>
                <w:sz w:val="24"/>
              </w:rPr>
              <w:t>4</w:t>
            </w:r>
            <w:r>
              <w:rPr>
                <w:rFonts w:hint="eastAsia" w:ascii="宋体" w:hAnsi="宋体" w:eastAsia="宋体" w:cs="宋体"/>
                <w:color w:val="auto"/>
                <w:sz w:val="24"/>
                <w:lang w:val="en-US" w:eastAsia="zh-CN"/>
              </w:rPr>
              <w:t>8</w:t>
            </w:r>
          </w:p>
        </w:tc>
        <w:tc>
          <w:tcPr>
            <w:tcW w:w="435"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54</w:t>
            </w:r>
          </w:p>
        </w:tc>
        <w:tc>
          <w:tcPr>
            <w:tcW w:w="425" w:type="pct"/>
            <w:gridSpan w:val="2"/>
            <w:vAlign w:val="center"/>
          </w:tcPr>
          <w:p>
            <w:pPr>
              <w:pStyle w:val="54"/>
              <w:adjustRightInd w:val="0"/>
              <w:snapToGrid w:val="0"/>
              <w:spacing w:before="100" w:beforeAutospacing="1" w:after="100" w:afterAutospacing="1"/>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54</w:t>
            </w: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21" w:type="pct"/>
            <w:gridSpan w:val="4"/>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专业技能课小计</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1620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9"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综合实训</w:t>
            </w:r>
          </w:p>
        </w:tc>
        <w:tc>
          <w:tcPr>
            <w:tcW w:w="812"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见习、实习等</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570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570</w:t>
            </w: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9"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顶岗实习</w:t>
            </w:r>
          </w:p>
        </w:tc>
        <w:tc>
          <w:tcPr>
            <w:tcW w:w="812"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企、事业单位</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570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1" w:type="pct"/>
            <w:gridSpan w:val="4"/>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综合实训、顶岗实习小计</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1140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21" w:type="pct"/>
            <w:gridSpan w:val="4"/>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总学时合计</w:t>
            </w:r>
          </w:p>
        </w:tc>
        <w:tc>
          <w:tcPr>
            <w:tcW w:w="426"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r>
              <w:rPr>
                <w:rFonts w:hint="eastAsia" w:ascii="宋体" w:hAnsi="宋体" w:eastAsia="宋体" w:cs="宋体"/>
                <w:color w:val="auto"/>
                <w:sz w:val="24"/>
              </w:rPr>
              <w:t>4520</w:t>
            </w:r>
          </w:p>
        </w:tc>
        <w:tc>
          <w:tcPr>
            <w:tcW w:w="816" w:type="pct"/>
            <w:gridSpan w:val="3"/>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84"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3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425" w:type="pct"/>
            <w:gridSpan w:val="2"/>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c>
          <w:tcPr>
            <w:tcW w:w="368" w:type="pct"/>
            <w:vAlign w:val="center"/>
          </w:tcPr>
          <w:p>
            <w:pPr>
              <w:pStyle w:val="54"/>
              <w:adjustRightInd w:val="0"/>
              <w:snapToGrid w:val="0"/>
              <w:spacing w:before="100" w:beforeAutospacing="1" w:after="100" w:afterAutospacing="1"/>
              <w:jc w:val="center"/>
              <w:rPr>
                <w:rFonts w:ascii="宋体" w:hAnsi="宋体" w:eastAsia="宋体" w:cs="宋体"/>
                <w:color w:val="auto"/>
                <w:sz w:val="24"/>
              </w:rPr>
            </w:pPr>
          </w:p>
        </w:tc>
      </w:tr>
    </w:tbl>
    <w:p>
      <w:pPr>
        <w:pStyle w:val="54"/>
        <w:adjustRightInd w:val="0"/>
        <w:snapToGrid w:val="0"/>
        <w:spacing w:before="100" w:beforeAutospacing="1" w:after="100" w:afterAutospacing="1"/>
        <w:rPr>
          <w:rFonts w:ascii="宋体" w:hAnsi="宋体" w:eastAsia="宋体" w:cs="宋体"/>
          <w:color w:val="auto"/>
          <w:sz w:val="24"/>
        </w:rPr>
      </w:pPr>
    </w:p>
    <w:p>
      <w:pPr>
        <w:pStyle w:val="54"/>
        <w:adjustRightInd w:val="0"/>
        <w:snapToGrid w:val="0"/>
        <w:spacing w:before="100" w:beforeAutospacing="1" w:after="100" w:afterAutospacing="1"/>
        <w:outlineLvl w:val="0"/>
        <w:rPr>
          <w:rFonts w:ascii="宋体" w:hAnsi="宋体" w:eastAsia="宋体" w:cs="宋体"/>
          <w:b/>
          <w:bCs/>
          <w:color w:val="auto"/>
          <w:sz w:val="24"/>
        </w:rPr>
      </w:pPr>
      <w:bookmarkStart w:id="83" w:name="_Toc20247"/>
      <w:bookmarkStart w:id="84" w:name="_Toc13865"/>
      <w:bookmarkStart w:id="85" w:name="_Toc5678"/>
      <w:bookmarkStart w:id="86" w:name="_Toc6597"/>
      <w:r>
        <w:rPr>
          <w:rFonts w:hint="eastAsia" w:ascii="宋体" w:hAnsi="宋体" w:eastAsia="宋体"/>
          <w:b/>
          <w:bCs/>
          <w:color w:val="auto"/>
          <w:sz w:val="28"/>
          <w:szCs w:val="28"/>
        </w:rPr>
        <w:t>九．【实施保障】</w:t>
      </w:r>
      <w:bookmarkEnd w:id="83"/>
      <w:bookmarkEnd w:id="84"/>
      <w:bookmarkEnd w:id="85"/>
      <w:bookmarkEnd w:id="86"/>
    </w:p>
    <w:p>
      <w:pPr>
        <w:pStyle w:val="54"/>
        <w:adjustRightInd w:val="0"/>
        <w:snapToGrid w:val="0"/>
        <w:spacing w:before="100" w:beforeAutospacing="1" w:after="100" w:afterAutospacing="1"/>
        <w:ind w:firstLine="482" w:firstLineChars="200"/>
        <w:outlineLvl w:val="1"/>
        <w:rPr>
          <w:rFonts w:ascii="宋体" w:hAnsi="宋体" w:eastAsia="宋体" w:cs="宋体"/>
          <w:b/>
          <w:bCs/>
          <w:color w:val="auto"/>
          <w:sz w:val="24"/>
        </w:rPr>
      </w:pPr>
      <w:bookmarkStart w:id="87" w:name="_Toc11463"/>
      <w:bookmarkStart w:id="88" w:name="_Toc23269"/>
      <w:bookmarkStart w:id="89" w:name="_Toc23334"/>
      <w:bookmarkStart w:id="90" w:name="_Toc811"/>
      <w:r>
        <w:rPr>
          <w:rFonts w:hint="eastAsia" w:ascii="宋体" w:hAnsi="宋体" w:eastAsia="宋体" w:cs="宋体"/>
          <w:b/>
          <w:bCs/>
          <w:color w:val="auto"/>
          <w:sz w:val="24"/>
        </w:rPr>
        <w:t>（一）</w:t>
      </w:r>
      <w:bookmarkEnd w:id="87"/>
      <w:bookmarkEnd w:id="88"/>
      <w:bookmarkEnd w:id="89"/>
      <w:bookmarkEnd w:id="90"/>
      <w:r>
        <w:rPr>
          <w:rFonts w:hint="eastAsia" w:ascii="宋体" w:hAnsi="宋体" w:eastAsia="宋体" w:cs="宋体"/>
          <w:b/>
          <w:bCs/>
          <w:color w:val="auto"/>
          <w:sz w:val="24"/>
        </w:rPr>
        <w:t>师资队伍</w:t>
      </w:r>
    </w:p>
    <w:p>
      <w:pPr>
        <w:pStyle w:val="54"/>
        <w:adjustRightInd w:val="0"/>
        <w:snapToGrid w:val="0"/>
        <w:spacing w:before="100" w:beforeAutospacing="1" w:after="100" w:afterAutospacing="1"/>
        <w:ind w:firstLine="480" w:firstLineChars="200"/>
        <w:rPr>
          <w:rFonts w:ascii="宋体" w:hAnsi="宋体" w:eastAsia="宋体" w:cs="宋体"/>
          <w:color w:val="auto"/>
          <w:sz w:val="24"/>
        </w:rPr>
      </w:pPr>
      <w:r>
        <w:rPr>
          <w:rFonts w:hint="eastAsia" w:ascii="宋体" w:hAnsi="宋体" w:eastAsia="宋体" w:cs="宋体"/>
          <w:color w:val="auto"/>
          <w:sz w:val="24"/>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pStyle w:val="54"/>
        <w:adjustRightInd w:val="0"/>
        <w:snapToGrid w:val="0"/>
        <w:spacing w:before="100" w:beforeAutospacing="1" w:after="100" w:afterAutospacing="1"/>
        <w:ind w:firstLine="480" w:firstLineChars="200"/>
        <w:rPr>
          <w:rFonts w:ascii="宋体" w:hAnsi="宋体" w:eastAsia="宋体" w:cs="宋体"/>
          <w:color w:val="auto"/>
          <w:sz w:val="24"/>
        </w:rPr>
      </w:pPr>
      <w:r>
        <w:rPr>
          <w:rFonts w:hint="eastAsia" w:ascii="宋体" w:hAnsi="宋体" w:eastAsia="宋体" w:cs="宋体"/>
          <w:color w:val="auto"/>
          <w:sz w:val="24"/>
        </w:rPr>
        <w:t>专业专任教师应具备良好的师德和终身学习能力，具有化工专业或相应专业本科及以上学历、中等职业学校教师资格证书和化工专业相关工种初级（含）以上职业资格，能够适应产业、行业发展需求，熟悉企业情况，参加企业实践和技术服务，积极开展课程教学改革。</w:t>
      </w:r>
    </w:p>
    <w:p>
      <w:pPr>
        <w:pStyle w:val="54"/>
        <w:adjustRightInd w:val="0"/>
        <w:snapToGrid w:val="0"/>
        <w:spacing w:before="100" w:beforeAutospacing="1" w:after="100" w:afterAutospacing="1"/>
        <w:ind w:firstLine="480" w:firstLineChars="200"/>
        <w:rPr>
          <w:rFonts w:ascii="宋体" w:hAnsi="宋体" w:eastAsia="宋体"/>
          <w:color w:val="auto"/>
          <w:sz w:val="24"/>
        </w:rPr>
      </w:pPr>
      <w:r>
        <w:rPr>
          <w:rFonts w:hint="eastAsia" w:ascii="宋体" w:hAnsi="宋体" w:eastAsia="宋体" w:cs="宋体"/>
          <w:color w:val="auto"/>
          <w:sz w:val="24"/>
        </w:rPr>
        <w:t>聘请化工专业及相关行业企业的高技能人才担任专业兼职教师，应具有高级（含）及以上职业资格或中级（含）以上专业技术职称，能够参与学校授课、讲座等教学活动。</w:t>
      </w:r>
    </w:p>
    <w:p>
      <w:pPr>
        <w:spacing w:before="100" w:beforeAutospacing="1" w:after="100" w:afterAutospacing="1"/>
        <w:rPr>
          <w:rFonts w:ascii="宋体" w:hAnsi="宋体" w:eastAsia="宋体"/>
          <w:b/>
          <w:bCs/>
          <w:color w:val="auto"/>
          <w:sz w:val="28"/>
          <w:szCs w:val="28"/>
        </w:rPr>
      </w:pPr>
      <w:r>
        <w:rPr>
          <w:rFonts w:hint="eastAsia" w:ascii="宋体" w:hAnsi="宋体" w:eastAsia="宋体"/>
          <w:b/>
          <w:bCs/>
          <w:color w:val="auto"/>
          <w:sz w:val="28"/>
          <w:szCs w:val="28"/>
        </w:rPr>
        <w:t>（二）教学</w:t>
      </w:r>
      <w:r>
        <w:rPr>
          <w:rFonts w:ascii="宋体" w:hAnsi="宋体" w:eastAsia="宋体"/>
          <w:b/>
          <w:bCs/>
          <w:color w:val="auto"/>
          <w:sz w:val="28"/>
          <w:szCs w:val="28"/>
        </w:rPr>
        <w:t>设施</w:t>
      </w:r>
    </w:p>
    <w:p>
      <w:pPr>
        <w:spacing w:before="100" w:beforeAutospacing="1" w:after="100" w:afterAutospacing="1"/>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为培养高素质的实用型人才，</w:t>
      </w:r>
      <w:r>
        <w:rPr>
          <w:rFonts w:hint="eastAsia" w:ascii="宋体" w:hAnsi="宋体" w:eastAsia="宋体" w:cs="宋体"/>
          <w:color w:val="auto"/>
          <w:kern w:val="0"/>
          <w:sz w:val="24"/>
          <w:szCs w:val="24"/>
        </w:rPr>
        <w:t>校内专业实训实习基地建设初具规模。化工专业目前已建立化工原理实训室、普通化学检验、化工分析、烧碱生产与操作等四个实训场地，总建筑面积1200平方米，投资500多万元，拥有各类实训设备400台套，可同时满足400名学生进行实训教学。校外有3家具有3年以上合作关系的实习基地 。</w:t>
      </w:r>
      <w:r>
        <w:rPr>
          <w:rFonts w:hint="eastAsia" w:ascii="宋体" w:hAnsi="宋体" w:eastAsia="宋体" w:cs="Times New Roman"/>
          <w:color w:val="auto"/>
          <w:sz w:val="24"/>
          <w:szCs w:val="24"/>
        </w:rPr>
        <w:t>还积极筹建校外实训基地，充分利用工业园区的有利条件，多与企业联系沟通，在大中型企业建立了稳固的实习基地。建立长效机制，就地取材、因势利导全面细致地展开实训教学，确保为企业输送合格人才。</w:t>
      </w:r>
    </w:p>
    <w:p>
      <w:pPr>
        <w:shd w:val="clear" w:color="auto" w:fill="FFFFFF"/>
        <w:snapToGrid w:val="0"/>
        <w:spacing w:before="100" w:beforeAutospacing="1" w:after="100" w:afterAutospacing="1"/>
        <w:ind w:firstLine="600" w:firstLineChars="250"/>
        <w:rPr>
          <w:rFonts w:ascii="宋体" w:hAnsi="宋体" w:eastAsia="宋体" w:cs="宋体"/>
          <w:color w:val="auto"/>
          <w:kern w:val="0"/>
          <w:sz w:val="24"/>
          <w:szCs w:val="24"/>
        </w:rPr>
      </w:pPr>
      <w:r>
        <w:rPr>
          <w:rFonts w:hint="eastAsia" w:ascii="宋体" w:hAnsi="宋体" w:eastAsia="宋体" w:cs="宋体"/>
          <w:color w:val="auto"/>
          <w:kern w:val="0"/>
          <w:sz w:val="24"/>
          <w:szCs w:val="24"/>
        </w:rPr>
        <w:t>1、校内实训设施</w:t>
      </w:r>
    </w:p>
    <w:p>
      <w:pPr>
        <w:shd w:val="clear" w:color="auto" w:fill="FFFFFF"/>
        <w:snapToGrid w:val="0"/>
        <w:spacing w:before="100" w:beforeAutospacing="1" w:after="100" w:afterAutospacing="1"/>
        <w:jc w:val="center"/>
        <w:rPr>
          <w:rFonts w:ascii="宋体" w:hAnsi="宋体" w:eastAsia="宋体" w:cs="宋体"/>
          <w:color w:val="auto"/>
          <w:kern w:val="0"/>
          <w:szCs w:val="21"/>
        </w:rPr>
      </w:pPr>
      <w:r>
        <w:rPr>
          <w:rFonts w:hint="eastAsia" w:ascii="宋体" w:hAnsi="宋体" w:eastAsia="宋体" w:cs="宋体"/>
          <w:color w:val="auto"/>
          <w:kern w:val="0"/>
          <w:szCs w:val="21"/>
        </w:rPr>
        <w:t>表2 ：现有化工实训设备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138"/>
        <w:gridCol w:w="897"/>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8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课程名称</w:t>
            </w:r>
          </w:p>
        </w:tc>
        <w:tc>
          <w:tcPr>
            <w:tcW w:w="1575" w:type="pct"/>
            <w:shd w:val="clear" w:color="auto" w:fill="auto"/>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设备</w:t>
            </w:r>
          </w:p>
        </w:tc>
        <w:tc>
          <w:tcPr>
            <w:tcW w:w="450" w:type="pct"/>
            <w:shd w:val="clear" w:color="auto" w:fill="auto"/>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1190" w:type="pct"/>
            <w:shd w:val="clear" w:color="auto" w:fill="auto"/>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1、化工单元操作</w:t>
            </w:r>
          </w:p>
        </w:tc>
        <w:tc>
          <w:tcPr>
            <w:tcW w:w="1575" w:type="pct"/>
            <w:shd w:val="clear" w:color="auto" w:fill="auto"/>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干燥单元操作实训装置 </w:t>
            </w:r>
          </w:p>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shd w:val="clear" w:color="auto" w:fill="FFFFFF"/>
              </w:rPr>
              <w:t>BGZGC-B</w:t>
            </w:r>
          </w:p>
        </w:tc>
        <w:tc>
          <w:tcPr>
            <w:tcW w:w="450" w:type="pct"/>
            <w:shd w:val="clear" w:color="auto" w:fill="auto"/>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190" w:type="pct"/>
            <w:shd w:val="clear" w:color="auto" w:fill="auto"/>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2、化工单元操作</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传热单元操作实训装置</w:t>
            </w:r>
          </w:p>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shd w:val="clear" w:color="auto" w:fill="FFFFFF"/>
              </w:rPr>
              <w:t>BCRG-B</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3、化工单元操作</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精馏单元操作实训装置</w:t>
            </w:r>
          </w:p>
          <w:p>
            <w:pPr>
              <w:jc w:val="center"/>
              <w:rPr>
                <w:rFonts w:ascii="宋体" w:hAnsi="宋体" w:eastAsia="宋体" w:cs="Times New Roman"/>
                <w:color w:val="auto"/>
                <w:sz w:val="24"/>
                <w:szCs w:val="24"/>
              </w:rPr>
            </w:pPr>
            <w:r>
              <w:rPr>
                <w:rFonts w:ascii="宋体" w:hAnsi="宋体" w:eastAsia="宋体" w:cs="Times New Roman"/>
                <w:color w:val="auto"/>
                <w:sz w:val="24"/>
                <w:szCs w:val="24"/>
                <w:shd w:val="clear" w:color="auto" w:fill="FFFFFF"/>
              </w:rPr>
              <w:t>BJLTD-BJS</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4、化工单元操作</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吸收-解吸单元操作实训装置</w:t>
            </w:r>
          </w:p>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shd w:val="clear" w:color="auto" w:fill="FFFFFF"/>
              </w:rPr>
              <w:t>BSSGC-B</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5、化工单元操作</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流体输送单元操作实训装置</w:t>
            </w:r>
          </w:p>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shd w:val="clear" w:color="auto" w:fill="FFFFFF"/>
              </w:rPr>
              <w:t>BLTSS-B</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6、化工单元操作</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蒸发</w:t>
            </w:r>
          </w:p>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shd w:val="clear" w:color="auto" w:fill="FFFFFF"/>
              </w:rPr>
              <w:t>BZFG-BC</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7、化工单元仿真</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欧倍尔仿真软件</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50</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8、基础化学</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基础化学实验</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9、化工工艺氯碱工艺</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离子膜氯碱生产工艺模型</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10、化工分析</w:t>
            </w:r>
          </w:p>
        </w:tc>
        <w:tc>
          <w:tcPr>
            <w:tcW w:w="1575"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普通化学分析实训</w:t>
            </w:r>
          </w:p>
        </w:tc>
        <w:tc>
          <w:tcPr>
            <w:tcW w:w="45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1190" w:type="pc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11、化工分析</w:t>
            </w:r>
          </w:p>
        </w:tc>
        <w:tc>
          <w:tcPr>
            <w:tcW w:w="1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仪器分析实训</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1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2014年</w:t>
            </w:r>
          </w:p>
        </w:tc>
      </w:tr>
    </w:tbl>
    <w:p>
      <w:pPr>
        <w:pStyle w:val="54"/>
        <w:adjustRightInd w:val="0"/>
        <w:snapToGrid w:val="0"/>
        <w:spacing w:before="100" w:beforeAutospacing="1" w:after="100" w:afterAutospacing="1"/>
        <w:outlineLvl w:val="2"/>
        <w:rPr>
          <w:rFonts w:ascii="宋体" w:hAnsi="宋体" w:eastAsia="宋体"/>
          <w:color w:val="auto"/>
          <w:sz w:val="24"/>
        </w:rPr>
      </w:pPr>
      <w:bookmarkStart w:id="91" w:name="_Toc8261"/>
      <w:bookmarkStart w:id="92" w:name="_Toc4786"/>
      <w:bookmarkStart w:id="93" w:name="_Toc20161"/>
    </w:p>
    <w:p>
      <w:pPr>
        <w:pStyle w:val="54"/>
        <w:adjustRightInd w:val="0"/>
        <w:snapToGrid w:val="0"/>
        <w:spacing w:before="100" w:beforeAutospacing="1" w:after="100" w:afterAutospacing="1"/>
        <w:outlineLvl w:val="2"/>
        <w:rPr>
          <w:rFonts w:ascii="宋体" w:hAnsi="宋体" w:eastAsia="宋体" w:cstheme="minorEastAsia"/>
          <w:color w:val="auto"/>
          <w:sz w:val="24"/>
        </w:rPr>
      </w:pPr>
      <w:r>
        <w:rPr>
          <w:rFonts w:hint="eastAsia" w:ascii="宋体" w:hAnsi="宋体" w:eastAsia="宋体" w:cstheme="minorEastAsia"/>
          <w:color w:val="auto"/>
          <w:sz w:val="24"/>
        </w:rPr>
        <w:t>2.校外实训基地</w:t>
      </w:r>
      <w:bookmarkEnd w:id="91"/>
      <w:bookmarkEnd w:id="92"/>
      <w:bookmarkEnd w:id="93"/>
    </w:p>
    <w:p>
      <w:pPr>
        <w:pStyle w:val="54"/>
        <w:adjustRightInd w:val="0"/>
        <w:snapToGrid w:val="0"/>
        <w:spacing w:before="100" w:beforeAutospacing="1" w:after="100" w:afterAutospacing="1"/>
        <w:ind w:firstLine="480" w:firstLineChars="200"/>
        <w:rPr>
          <w:rFonts w:ascii="宋体" w:hAnsi="宋体" w:eastAsia="宋体"/>
          <w:color w:val="auto"/>
          <w:sz w:val="24"/>
        </w:rPr>
      </w:pPr>
      <w:r>
        <w:rPr>
          <w:rFonts w:hint="eastAsia" w:ascii="宋体" w:hAnsi="宋体" w:eastAsia="宋体"/>
          <w:color w:val="auto"/>
          <w:sz w:val="24"/>
        </w:rPr>
        <w:t>（1）与久泰能源科技有限公司联合开展校企合作办学模式，主要合作方向为相关课程体系的改革，为适应相关行业的发展定向培养相应的人才。</w:t>
      </w:r>
    </w:p>
    <w:p>
      <w:pPr>
        <w:spacing w:before="100" w:beforeAutospacing="1" w:after="100" w:afterAutospacing="1"/>
        <w:ind w:firstLine="480" w:firstLineChars="200"/>
        <w:rPr>
          <w:rFonts w:ascii="宋体" w:hAnsi="宋体" w:eastAsia="宋体"/>
          <w:color w:val="auto"/>
          <w:sz w:val="28"/>
          <w:szCs w:val="28"/>
        </w:rPr>
      </w:pPr>
      <w:r>
        <w:rPr>
          <w:rFonts w:hint="eastAsia" w:ascii="宋体" w:hAnsi="宋体" w:eastAsia="宋体"/>
          <w:color w:val="auto"/>
          <w:sz w:val="24"/>
        </w:rPr>
        <w:t>（2）与伊泰煤制油公司联合开展校企合作办学模式，主要合作方向为定向培养化工行业相关人才。</w:t>
      </w:r>
    </w:p>
    <w:p>
      <w:pPr>
        <w:spacing w:before="100" w:beforeAutospacing="1" w:after="100" w:afterAutospacing="1"/>
        <w:rPr>
          <w:rFonts w:ascii="宋体" w:hAnsi="宋体" w:eastAsia="宋体"/>
          <w:b/>
          <w:bCs/>
          <w:color w:val="auto"/>
          <w:sz w:val="28"/>
          <w:szCs w:val="28"/>
        </w:rPr>
      </w:pPr>
      <w:r>
        <w:rPr>
          <w:rFonts w:hint="eastAsia" w:ascii="宋体" w:hAnsi="宋体" w:eastAsia="宋体"/>
          <w:b/>
          <w:bCs/>
          <w:color w:val="auto"/>
          <w:sz w:val="28"/>
          <w:szCs w:val="28"/>
        </w:rPr>
        <w:t>（三）教学</w:t>
      </w:r>
      <w:r>
        <w:rPr>
          <w:rFonts w:ascii="宋体" w:hAnsi="宋体" w:eastAsia="宋体"/>
          <w:b/>
          <w:bCs/>
          <w:color w:val="auto"/>
          <w:sz w:val="28"/>
          <w:szCs w:val="28"/>
        </w:rPr>
        <w:t>资源</w:t>
      </w:r>
    </w:p>
    <w:p>
      <w:pPr>
        <w:spacing w:before="100" w:beforeAutospacing="1" w:after="100" w:afterAutospacing="1"/>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1.</w:t>
      </w:r>
      <w:r>
        <w:rPr>
          <w:rFonts w:hint="eastAsia" w:ascii="宋体" w:hAnsi="宋体" w:eastAsia="宋体"/>
          <w:color w:val="auto"/>
          <w:sz w:val="28"/>
          <w:szCs w:val="28"/>
        </w:rPr>
        <w:t>教材</w:t>
      </w:r>
      <w:r>
        <w:rPr>
          <w:rFonts w:ascii="宋体" w:hAnsi="宋体" w:eastAsia="宋体"/>
          <w:color w:val="auto"/>
          <w:sz w:val="28"/>
          <w:szCs w:val="28"/>
        </w:rPr>
        <w:t>选用</w:t>
      </w:r>
    </w:p>
    <w:p>
      <w:pPr>
        <w:spacing w:before="100" w:beforeAutospacing="1" w:after="100" w:afterAutospacing="1"/>
        <w:ind w:firstLine="480" w:firstLineChars="200"/>
        <w:rPr>
          <w:rFonts w:ascii="宋体" w:hAnsi="宋体" w:eastAsia="宋体"/>
          <w:color w:val="auto"/>
          <w:sz w:val="24"/>
        </w:rPr>
      </w:pPr>
      <w:r>
        <w:rPr>
          <w:rFonts w:hint="eastAsia" w:ascii="宋体" w:hAnsi="宋体" w:eastAsia="宋体" w:cs="Times New Roman"/>
          <w:color w:val="auto"/>
          <w:sz w:val="24"/>
        </w:rPr>
        <w:t>应制定教材选用及教材编写有关规定，以利于教师编选合适的教材。应鼓励教师针对学生程度编选适合教材，以利于学生学习。选用教材时，要结合地区需要，选择符合学生认知规律和课程设置要求，教学方法灵活，突出“做、学、教”一体化的教材。</w:t>
      </w:r>
      <w:r>
        <w:rPr>
          <w:rFonts w:hint="eastAsia" w:ascii="宋体" w:hAnsi="宋体" w:eastAsia="宋体"/>
          <w:color w:val="auto"/>
          <w:sz w:val="24"/>
        </w:rPr>
        <w:t>健全本校教材选用制度，根据各专业需要也组织老师们编写校本教材，开发教学资源.</w:t>
      </w:r>
    </w:p>
    <w:p>
      <w:pPr>
        <w:spacing w:before="100" w:beforeAutospacing="1" w:after="100" w:afterAutospacing="1"/>
        <w:jc w:val="center"/>
        <w:rPr>
          <w:rFonts w:ascii="宋体" w:hAnsi="宋体" w:eastAsia="宋体" w:cs="Times New Roman"/>
          <w:b/>
          <w:bCs/>
          <w:color w:val="auto"/>
          <w:sz w:val="28"/>
          <w:szCs w:val="28"/>
        </w:rPr>
      </w:pPr>
      <w:r>
        <w:rPr>
          <w:rFonts w:hint="eastAsia" w:ascii="宋体" w:hAnsi="宋体" w:eastAsia="宋体" w:cs="Times New Roman"/>
          <w:b/>
          <w:bCs/>
          <w:color w:val="auto"/>
          <w:sz w:val="28"/>
          <w:szCs w:val="28"/>
        </w:rPr>
        <w:t>化学工艺专业规划教材</w:t>
      </w:r>
    </w:p>
    <w:p>
      <w:pPr>
        <w:spacing w:before="100" w:beforeAutospacing="1" w:after="100" w:afterAutospacing="1"/>
        <w:ind w:firstLine="562" w:firstLineChars="200"/>
        <w:rPr>
          <w:rFonts w:ascii="宋体" w:hAnsi="宋体" w:eastAsia="宋体" w:cs="Times New Roman"/>
          <w:color w:val="auto"/>
          <w:sz w:val="24"/>
          <w:szCs w:val="24"/>
        </w:rPr>
      </w:pPr>
      <w:r>
        <w:rPr>
          <w:rFonts w:hint="eastAsia" w:ascii="宋体" w:hAnsi="宋体" w:eastAsia="宋体" w:cs="Times New Roman"/>
          <w:b/>
          <w:bCs/>
          <w:color w:val="auto"/>
          <w:sz w:val="28"/>
          <w:szCs w:val="28"/>
        </w:rPr>
        <w:t>化学工艺</w:t>
      </w:r>
      <w:r>
        <w:rPr>
          <w:rFonts w:hint="eastAsia" w:ascii="宋体" w:hAnsi="宋体" w:eastAsia="宋体" w:cs="Times New Roman"/>
          <w:color w:val="auto"/>
          <w:sz w:val="24"/>
          <w:szCs w:val="24"/>
        </w:rPr>
        <w:t>专业的教材符合规范教材选用程序，符合自治区课改。规划教材主要有以下内容：</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《语文》主编：赵大鹏   出版社：语文出版社出版</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《数学》人民教育出版社课程教材研究所职业教育课程教材研究开发中心编著   出版社：人民教育出版社出版</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《英语》主编：王立善  戴宗显  出版社：语文出版社出版</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《职业生涯规划》主编：柳君芳  姚裕群  出版社：中国人民大学出版社</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《职业道德与法律》主编：人民教育出版社课程教材研究所思想政治课程教材研究开发中心编著   出版社：人民教育出版社</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《经济政治与社会》：主编：沈越  张可君 出版社：北京师范大学出版社</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《物理》人民教育出版社 课程教材研究所 职业教育课程教材研究开发中心编著  出版社：人民教育出版社</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《计算机应用基础》主编：宁蒙 颜国强 朱勇 出版社：语文出版社</w:t>
      </w:r>
    </w:p>
    <w:p>
      <w:pPr>
        <w:spacing w:before="100" w:beforeAutospacing="1" w:after="100" w:afterAutospacing="1"/>
        <w:ind w:firstLine="720" w:firstLineChars="300"/>
        <w:rPr>
          <w:rFonts w:ascii="宋体" w:hAnsi="宋体" w:eastAsia="宋体" w:cs="Times New Roman"/>
          <w:b/>
          <w:color w:val="auto"/>
          <w:sz w:val="24"/>
          <w:szCs w:val="24"/>
        </w:rPr>
      </w:pPr>
      <w:r>
        <w:rPr>
          <w:rFonts w:hint="eastAsia" w:ascii="宋体" w:hAnsi="宋体" w:eastAsia="宋体" w:cs="Times New Roman"/>
          <w:color w:val="auto"/>
          <w:sz w:val="24"/>
          <w:szCs w:val="24"/>
        </w:rPr>
        <w:t>《化工基础》主编</w:t>
      </w:r>
      <w:r>
        <w:rPr>
          <w:rFonts w:hint="eastAsia" w:ascii="宋体" w:hAnsi="宋体" w:eastAsia="宋体"/>
          <w:color w:val="auto"/>
          <w:sz w:val="24"/>
          <w:szCs w:val="24"/>
        </w:rPr>
        <w:t>：</w:t>
      </w:r>
      <w:r>
        <w:rPr>
          <w:rFonts w:hint="eastAsia" w:ascii="宋体" w:hAnsi="宋体" w:eastAsia="宋体" w:cs="Times New Roman"/>
          <w:color w:val="auto"/>
          <w:sz w:val="24"/>
          <w:szCs w:val="24"/>
        </w:rPr>
        <w:t xml:space="preserve">刘盛宾  苏建智  </w:t>
      </w:r>
      <w:r>
        <w:rPr>
          <w:rFonts w:hint="eastAsia" w:ascii="宋体" w:hAnsi="宋体" w:eastAsia="宋体"/>
          <w:color w:val="auto"/>
          <w:sz w:val="24"/>
          <w:szCs w:val="24"/>
        </w:rPr>
        <w:t>出版社</w:t>
      </w:r>
      <w:r>
        <w:rPr>
          <w:rFonts w:hint="eastAsia" w:ascii="宋体" w:hAnsi="宋体" w:eastAsia="宋体" w:cs="Times New Roman"/>
          <w:color w:val="auto"/>
          <w:sz w:val="24"/>
          <w:szCs w:val="24"/>
        </w:rPr>
        <w:t>：化学工业出版社</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《烧碱生产与操作》主编</w:t>
      </w:r>
      <w:r>
        <w:rPr>
          <w:rFonts w:hint="eastAsia" w:ascii="宋体" w:hAnsi="宋体" w:eastAsia="宋体"/>
          <w:color w:val="auto"/>
          <w:sz w:val="24"/>
          <w:szCs w:val="24"/>
        </w:rPr>
        <w:t>：</w:t>
      </w:r>
      <w:r>
        <w:rPr>
          <w:rFonts w:hint="eastAsia" w:ascii="宋体" w:hAnsi="宋体" w:eastAsia="宋体" w:cs="Times New Roman"/>
          <w:color w:val="auto"/>
          <w:sz w:val="24"/>
          <w:szCs w:val="24"/>
        </w:rPr>
        <w:t>田伟军  易卫国</w:t>
      </w:r>
      <w:r>
        <w:rPr>
          <w:rFonts w:hint="eastAsia" w:ascii="宋体" w:hAnsi="宋体" w:eastAsia="宋体"/>
          <w:color w:val="auto"/>
          <w:sz w:val="24"/>
          <w:szCs w:val="24"/>
        </w:rPr>
        <w:t xml:space="preserve">  出版社</w:t>
      </w:r>
      <w:r>
        <w:rPr>
          <w:rFonts w:hint="eastAsia" w:ascii="宋体" w:hAnsi="宋体" w:eastAsia="宋体" w:cs="Times New Roman"/>
          <w:color w:val="auto"/>
          <w:sz w:val="24"/>
          <w:szCs w:val="24"/>
        </w:rPr>
        <w:t>：化学工业出版社</w:t>
      </w:r>
    </w:p>
    <w:p>
      <w:pPr>
        <w:spacing w:before="100" w:beforeAutospacing="1" w:after="100" w:afterAutospacing="1"/>
        <w:ind w:firstLine="720" w:firstLineChars="300"/>
        <w:rPr>
          <w:rFonts w:ascii="宋体" w:hAnsi="宋体" w:eastAsia="宋体"/>
          <w:color w:val="auto"/>
          <w:sz w:val="24"/>
          <w:szCs w:val="24"/>
        </w:rPr>
      </w:pPr>
      <w:r>
        <w:rPr>
          <w:rFonts w:hint="eastAsia" w:ascii="宋体" w:hAnsi="宋体" w:eastAsia="宋体" w:cs="Times New Roman"/>
          <w:color w:val="auto"/>
          <w:sz w:val="24"/>
          <w:szCs w:val="24"/>
        </w:rPr>
        <w:t>《化工分析》主编</w:t>
      </w:r>
      <w:r>
        <w:rPr>
          <w:rFonts w:hint="eastAsia" w:ascii="宋体" w:hAnsi="宋体" w:eastAsia="宋体"/>
          <w:color w:val="auto"/>
          <w:sz w:val="24"/>
          <w:szCs w:val="24"/>
        </w:rPr>
        <w:t>：姚金柱、</w:t>
      </w:r>
      <w:r>
        <w:rPr>
          <w:rFonts w:hint="eastAsia" w:ascii="宋体" w:hAnsi="宋体" w:eastAsia="宋体" w:cs="Times New Roman"/>
          <w:color w:val="auto"/>
          <w:sz w:val="24"/>
          <w:szCs w:val="24"/>
        </w:rPr>
        <w:t>张振宇</w:t>
      </w:r>
      <w:r>
        <w:rPr>
          <w:rFonts w:hint="eastAsia" w:ascii="宋体" w:hAnsi="宋体" w:eastAsia="宋体"/>
          <w:color w:val="auto"/>
          <w:sz w:val="24"/>
          <w:szCs w:val="24"/>
        </w:rPr>
        <w:t>出版社</w:t>
      </w:r>
      <w:r>
        <w:rPr>
          <w:rFonts w:hint="eastAsia" w:ascii="宋体" w:hAnsi="宋体" w:eastAsia="宋体" w:cs="Times New Roman"/>
          <w:color w:val="auto"/>
          <w:sz w:val="24"/>
          <w:szCs w:val="24"/>
        </w:rPr>
        <w:t>：化学工业出版社</w:t>
      </w:r>
    </w:p>
    <w:p>
      <w:pPr>
        <w:spacing w:before="100" w:beforeAutospacing="1" w:after="100" w:afterAutospacing="1"/>
        <w:ind w:firstLine="720" w:firstLineChars="300"/>
        <w:rPr>
          <w:rFonts w:ascii="宋体" w:hAnsi="宋体" w:eastAsia="宋体" w:cs="Times New Roman"/>
          <w:b/>
          <w:color w:val="auto"/>
          <w:sz w:val="24"/>
          <w:szCs w:val="24"/>
        </w:rPr>
      </w:pPr>
      <w:r>
        <w:rPr>
          <w:rFonts w:hint="eastAsia" w:ascii="宋体" w:hAnsi="宋体" w:eastAsia="宋体" w:cs="Times New Roman"/>
          <w:color w:val="auto"/>
          <w:sz w:val="24"/>
          <w:szCs w:val="24"/>
        </w:rPr>
        <w:t>《化学》主编</w:t>
      </w:r>
      <w:r>
        <w:rPr>
          <w:rFonts w:hint="eastAsia" w:ascii="宋体" w:hAnsi="宋体" w:eastAsia="宋体"/>
          <w:color w:val="auto"/>
          <w:sz w:val="24"/>
          <w:szCs w:val="24"/>
        </w:rPr>
        <w:t>：</w:t>
      </w:r>
      <w:r>
        <w:rPr>
          <w:rFonts w:hint="eastAsia" w:ascii="宋体" w:hAnsi="宋体" w:eastAsia="宋体" w:cs="Times New Roman"/>
          <w:color w:val="auto"/>
          <w:sz w:val="24"/>
          <w:szCs w:val="24"/>
        </w:rPr>
        <w:t xml:space="preserve">宋心琦  </w:t>
      </w:r>
      <w:r>
        <w:rPr>
          <w:rFonts w:hint="eastAsia" w:ascii="宋体" w:hAnsi="宋体" w:eastAsia="宋体"/>
          <w:color w:val="auto"/>
          <w:sz w:val="24"/>
          <w:szCs w:val="24"/>
        </w:rPr>
        <w:t>出版社</w:t>
      </w:r>
      <w:r>
        <w:rPr>
          <w:rFonts w:hint="eastAsia" w:ascii="宋体" w:hAnsi="宋体" w:eastAsia="宋体" w:cs="Times New Roman"/>
          <w:color w:val="auto"/>
          <w:sz w:val="24"/>
          <w:szCs w:val="24"/>
        </w:rPr>
        <w:t xml:space="preserve"> ：人民教育出版社</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《煤化学》主编</w:t>
      </w:r>
      <w:r>
        <w:rPr>
          <w:rFonts w:hint="eastAsia" w:ascii="宋体" w:hAnsi="宋体" w:eastAsia="宋体"/>
          <w:color w:val="auto"/>
          <w:sz w:val="24"/>
          <w:szCs w:val="24"/>
        </w:rPr>
        <w:t>：</w:t>
      </w:r>
      <w:r>
        <w:rPr>
          <w:rFonts w:hint="eastAsia" w:ascii="宋体" w:hAnsi="宋体" w:eastAsia="宋体" w:cs="Times New Roman"/>
          <w:color w:val="auto"/>
          <w:sz w:val="24"/>
          <w:szCs w:val="24"/>
        </w:rPr>
        <w:t xml:space="preserve">尤景红  </w:t>
      </w:r>
      <w:r>
        <w:rPr>
          <w:rFonts w:hint="eastAsia" w:ascii="宋体" w:hAnsi="宋体" w:eastAsia="宋体"/>
          <w:color w:val="auto"/>
          <w:sz w:val="24"/>
          <w:szCs w:val="24"/>
        </w:rPr>
        <w:t>出版社</w:t>
      </w:r>
      <w:r>
        <w:rPr>
          <w:rFonts w:hint="eastAsia" w:ascii="宋体" w:hAnsi="宋体" w:eastAsia="宋体" w:cs="Times New Roman"/>
          <w:color w:val="auto"/>
          <w:sz w:val="24"/>
          <w:szCs w:val="24"/>
        </w:rPr>
        <w:t>：化学工业出版社</w:t>
      </w:r>
    </w:p>
    <w:p>
      <w:pPr>
        <w:spacing w:before="100" w:beforeAutospacing="1" w:after="100" w:afterAutospacing="1"/>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《煤化工工艺》主编</w:t>
      </w:r>
      <w:r>
        <w:rPr>
          <w:rFonts w:hint="eastAsia" w:ascii="宋体" w:hAnsi="宋体" w:eastAsia="宋体"/>
          <w:color w:val="auto"/>
          <w:sz w:val="24"/>
          <w:szCs w:val="24"/>
        </w:rPr>
        <w:t>：</w:t>
      </w:r>
      <w:r>
        <w:rPr>
          <w:rFonts w:hint="eastAsia" w:ascii="宋体" w:hAnsi="宋体" w:eastAsia="宋体" w:cs="Times New Roman"/>
          <w:color w:val="auto"/>
          <w:sz w:val="24"/>
          <w:szCs w:val="24"/>
        </w:rPr>
        <w:t xml:space="preserve">白鹏  李平   </w:t>
      </w:r>
      <w:r>
        <w:rPr>
          <w:rFonts w:hint="eastAsia" w:ascii="宋体" w:hAnsi="宋体" w:eastAsia="宋体"/>
          <w:color w:val="auto"/>
          <w:sz w:val="24"/>
          <w:szCs w:val="24"/>
        </w:rPr>
        <w:t>出版社</w:t>
      </w:r>
      <w:r>
        <w:rPr>
          <w:rFonts w:hint="eastAsia" w:ascii="宋体" w:hAnsi="宋体" w:eastAsia="宋体" w:cs="Times New Roman"/>
          <w:color w:val="auto"/>
          <w:sz w:val="24"/>
          <w:szCs w:val="24"/>
        </w:rPr>
        <w:t>：清华大学出版社</w:t>
      </w:r>
    </w:p>
    <w:p>
      <w:pPr>
        <w:spacing w:before="100" w:beforeAutospacing="1" w:after="100" w:afterAutospacing="1"/>
        <w:ind w:firstLine="720" w:firstLineChars="3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《化工识图与制图》主编</w:t>
      </w:r>
      <w:r>
        <w:rPr>
          <w:rFonts w:hint="eastAsia" w:ascii="宋体" w:hAnsi="宋体" w:eastAsia="宋体"/>
          <w:color w:val="auto"/>
          <w:sz w:val="24"/>
          <w:szCs w:val="24"/>
        </w:rPr>
        <w:t>：</w:t>
      </w:r>
      <w:r>
        <w:rPr>
          <w:rFonts w:hint="eastAsia" w:ascii="宋体" w:hAnsi="宋体" w:eastAsia="宋体" w:cs="Times New Roman"/>
          <w:color w:val="auto"/>
          <w:sz w:val="24"/>
          <w:szCs w:val="24"/>
        </w:rPr>
        <w:t xml:space="preserve">赵少贞  </w:t>
      </w:r>
      <w:r>
        <w:rPr>
          <w:rFonts w:hint="eastAsia" w:ascii="宋体" w:hAnsi="宋体" w:eastAsia="宋体"/>
          <w:color w:val="auto"/>
          <w:sz w:val="24"/>
          <w:szCs w:val="24"/>
        </w:rPr>
        <w:t>出版社</w:t>
      </w:r>
      <w:r>
        <w:rPr>
          <w:rFonts w:hint="eastAsia" w:ascii="宋体" w:hAnsi="宋体" w:eastAsia="宋体" w:cs="Times New Roman"/>
          <w:color w:val="auto"/>
          <w:sz w:val="24"/>
          <w:szCs w:val="24"/>
        </w:rPr>
        <w:t>：化学工业出版社</w:t>
      </w:r>
    </w:p>
    <w:p>
      <w:pPr>
        <w:spacing w:before="100" w:beforeAutospacing="1" w:after="100" w:afterAutospacing="1"/>
        <w:rPr>
          <w:rFonts w:ascii="宋体" w:hAnsi="宋体" w:eastAsia="宋体"/>
          <w:b/>
          <w:color w:val="auto"/>
          <w:sz w:val="24"/>
        </w:rPr>
      </w:pPr>
      <w:r>
        <w:rPr>
          <w:rFonts w:hint="eastAsia" w:ascii="宋体" w:hAnsi="宋体" w:eastAsia="宋体"/>
          <w:b/>
          <w:color w:val="auto"/>
          <w:sz w:val="24"/>
        </w:rPr>
        <w:t>校企合作开发教材</w:t>
      </w:r>
    </w:p>
    <w:p>
      <w:pPr>
        <w:spacing w:before="100" w:beforeAutospacing="1" w:after="100" w:afterAutospacing="1"/>
        <w:rPr>
          <w:rFonts w:ascii="宋体" w:hAnsi="宋体" w:eastAsia="宋体"/>
          <w:color w:val="auto"/>
          <w:sz w:val="24"/>
          <w:szCs w:val="24"/>
        </w:rPr>
      </w:pPr>
      <w:r>
        <w:rPr>
          <w:rFonts w:hint="eastAsia" w:ascii="宋体" w:hAnsi="宋体" w:eastAsia="宋体"/>
          <w:color w:val="auto"/>
          <w:sz w:val="24"/>
          <w:szCs w:val="24"/>
        </w:rPr>
        <w:t>《甲醇合成》</w:t>
      </w:r>
    </w:p>
    <w:p>
      <w:pPr>
        <w:spacing w:before="100" w:beforeAutospacing="1" w:after="100" w:afterAutospacing="1"/>
        <w:rPr>
          <w:rFonts w:ascii="宋体" w:hAnsi="宋体" w:eastAsia="宋体"/>
          <w:color w:val="auto"/>
          <w:sz w:val="24"/>
          <w:szCs w:val="24"/>
        </w:rPr>
      </w:pPr>
      <w:r>
        <w:rPr>
          <w:rFonts w:hint="eastAsia" w:ascii="宋体" w:hAnsi="宋体" w:eastAsia="宋体"/>
          <w:color w:val="auto"/>
          <w:sz w:val="24"/>
          <w:szCs w:val="24"/>
        </w:rPr>
        <w:t>出版社：中国石化出版社</w:t>
      </w:r>
    </w:p>
    <w:p>
      <w:pPr>
        <w:spacing w:before="100" w:beforeAutospacing="1" w:after="100" w:afterAutospacing="1"/>
        <w:rPr>
          <w:rFonts w:ascii="宋体" w:hAnsi="宋体" w:eastAsia="宋体" w:cs="Times New Roman"/>
          <w:color w:val="auto"/>
          <w:sz w:val="24"/>
          <w:szCs w:val="24"/>
        </w:rPr>
      </w:pPr>
      <w:r>
        <w:rPr>
          <w:rFonts w:hint="eastAsia" w:ascii="宋体" w:hAnsi="宋体" w:eastAsia="宋体"/>
          <w:color w:val="auto"/>
          <w:sz w:val="24"/>
          <w:szCs w:val="24"/>
        </w:rPr>
        <w:t>主编：王鹏   段超</w:t>
      </w:r>
    </w:p>
    <w:p>
      <w:pPr>
        <w:snapToGrid w:val="0"/>
        <w:spacing w:before="100" w:beforeAutospacing="1" w:after="100" w:afterAutospacing="1"/>
        <w:rPr>
          <w:rFonts w:ascii="宋体" w:hAnsi="宋体" w:eastAsia="宋体" w:cs="Times New Roman"/>
          <w:b/>
          <w:bCs/>
          <w:color w:val="auto"/>
          <w:sz w:val="28"/>
          <w:szCs w:val="28"/>
        </w:rPr>
      </w:pPr>
      <w:r>
        <w:rPr>
          <w:rFonts w:hint="eastAsia" w:ascii="宋体" w:hAnsi="宋体" w:eastAsia="宋体" w:cs="Times New Roman"/>
          <w:b/>
          <w:bCs/>
          <w:color w:val="auto"/>
          <w:sz w:val="28"/>
          <w:szCs w:val="28"/>
        </w:rPr>
        <w:t>2、数字信息化资源</w:t>
      </w:r>
    </w:p>
    <w:p>
      <w:pPr>
        <w:spacing w:before="100" w:beforeAutospacing="1" w:after="100" w:afterAutospacing="1"/>
        <w:ind w:firstLine="480" w:firstLineChars="200"/>
        <w:rPr>
          <w:rFonts w:ascii="宋体" w:hAnsi="宋体" w:eastAsia="宋体" w:cs="Times New Roman"/>
          <w:color w:val="auto"/>
          <w:sz w:val="24"/>
          <w:lang w:val="zh-CN"/>
        </w:rPr>
      </w:pPr>
      <w:r>
        <w:rPr>
          <w:rFonts w:hint="eastAsia" w:ascii="宋体" w:hAnsi="宋体" w:eastAsia="宋体" w:cs="Times New Roman"/>
          <w:color w:val="auto"/>
          <w:sz w:val="24"/>
          <w:lang w:val="zh-CN"/>
        </w:rPr>
        <w:t>由校教务处与化工教研组筹建</w:t>
      </w:r>
      <w:r>
        <w:rPr>
          <w:rFonts w:hint="eastAsia" w:ascii="宋体" w:hAnsi="宋体" w:eastAsia="宋体" w:cs="Times New Roman"/>
          <w:color w:val="auto"/>
          <w:sz w:val="24"/>
        </w:rPr>
        <w:t>的“VR虚拟仿真实验室”，并配备了化工信息化建设机房，对学生进行化工虚拟实操练习。教务处提供了与超星学习平台相关的教学配套硬件设施，假期定期授课，集中线上培训授课。学校定期组织教师提高信息化教学水平，将A3微课、A5技术、G1多技术融合等信息化教学理念通入实践教学当中。组件专业化平台，将</w:t>
      </w:r>
      <w:r>
        <w:rPr>
          <w:rFonts w:hint="eastAsia" w:ascii="宋体" w:hAnsi="宋体" w:eastAsia="宋体" w:cs="Times New Roman"/>
          <w:color w:val="auto"/>
          <w:sz w:val="24"/>
          <w:lang w:val="zh-CN"/>
        </w:rPr>
        <w:t>授课教案、教学课件与录像资源库，案例、教材资源库等，并不断完善和充实远程教育系统和其它网络资源。由专业建设委员会结合国家标准建设课程与考核资源库；在化工基地的企业中，选择具有代表性的不同企业作为实践教学基地资源库。</w:t>
      </w:r>
    </w:p>
    <w:p>
      <w:pPr>
        <w:spacing w:before="100" w:beforeAutospacing="1" w:after="100" w:afterAutospacing="1"/>
        <w:rPr>
          <w:rFonts w:ascii="宋体" w:hAnsi="宋体" w:eastAsia="宋体"/>
          <w:b/>
          <w:bCs/>
          <w:color w:val="auto"/>
          <w:sz w:val="28"/>
          <w:szCs w:val="28"/>
        </w:rPr>
      </w:pPr>
      <w:r>
        <w:rPr>
          <w:rFonts w:hint="eastAsia" w:ascii="宋体" w:hAnsi="宋体" w:eastAsia="宋体"/>
          <w:b/>
          <w:bCs/>
          <w:color w:val="auto"/>
          <w:sz w:val="28"/>
          <w:szCs w:val="28"/>
        </w:rPr>
        <w:t>（四）教学方法</w:t>
      </w:r>
    </w:p>
    <w:p>
      <w:pPr>
        <w:snapToGrid w:val="0"/>
        <w:spacing w:before="100" w:beforeAutospacing="1" w:after="100" w:afterAutospacing="1"/>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对教学内容进行深入的分析和探讨，将案例教学和实践内容，PPT演示及微课等教学手段引入到课堂。同时，充分利用现代教学手段，增强教学效果，倡导和鼓励教师使用现代教学手段，用图文音像等方式向学生传递综合信息，演示教学内容，增强教学效果的直观性和可视性，丰富教学内容。与此同时，整合课程资源，优化课程结构，构建以岗位核心能力为中心的教学内容体系；课程内容注重吸收行业发展新技术、新工艺、新规范，紧贴生产实践和技术前沿，融入大量真实的案例、行业规范，让学生体验真实的工作情境，执行完整的操作流程。强化教学过程的实践性、开放性和职业性，整合场地、管理、设备、技术和师资等资源，为实训提供真实的岗位训练、营造职场氛围和企业文化； 课程具体内容设置和教学过程中，积极跟踪企业岗位用人标准，在保证工学结合课程体系完整的前提下，以项目为支撑，运用任务驱动、案例教学和现场教学等教学模式，实现校内实训学做合一和校外实训工学交替的有机结合，提高学生职业技能。</w:t>
      </w:r>
    </w:p>
    <w:p>
      <w:pPr>
        <w:pStyle w:val="54"/>
        <w:adjustRightInd w:val="0"/>
        <w:snapToGrid w:val="0"/>
        <w:spacing w:before="100" w:beforeAutospacing="1" w:after="100" w:afterAutospacing="1"/>
        <w:outlineLvl w:val="0"/>
        <w:rPr>
          <w:rFonts w:ascii="宋体" w:hAnsi="宋体" w:eastAsia="宋体"/>
          <w:color w:val="auto"/>
          <w:sz w:val="28"/>
          <w:szCs w:val="28"/>
        </w:rPr>
      </w:pPr>
      <w:bookmarkStart w:id="94" w:name="_Toc29795"/>
      <w:bookmarkStart w:id="95" w:name="_Toc16641"/>
      <w:bookmarkStart w:id="96" w:name="_Toc14965"/>
      <w:bookmarkStart w:id="97" w:name="_Toc1149"/>
      <w:bookmarkStart w:id="98" w:name="_Toc11107"/>
      <w:bookmarkStart w:id="99" w:name="_Toc28828"/>
      <w:bookmarkStart w:id="100" w:name="_Toc24297"/>
      <w:r>
        <w:rPr>
          <w:rFonts w:hint="eastAsia" w:ascii="宋体" w:hAnsi="宋体" w:eastAsia="宋体"/>
          <w:color w:val="auto"/>
          <w:sz w:val="28"/>
          <w:szCs w:val="28"/>
        </w:rPr>
        <w:t>（五）教学评价</w:t>
      </w:r>
      <w:bookmarkEnd w:id="94"/>
      <w:bookmarkEnd w:id="95"/>
      <w:bookmarkEnd w:id="96"/>
      <w:bookmarkEnd w:id="97"/>
      <w:bookmarkEnd w:id="98"/>
      <w:bookmarkEnd w:id="99"/>
      <w:bookmarkEnd w:id="100"/>
    </w:p>
    <w:p>
      <w:pPr>
        <w:pStyle w:val="54"/>
        <w:adjustRightInd w:val="0"/>
        <w:snapToGrid w:val="0"/>
        <w:spacing w:before="100" w:beforeAutospacing="1" w:after="100" w:afterAutospacing="1"/>
        <w:ind w:firstLine="480" w:firstLineChars="20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由学校、学生、用人单位三方共同实施教学评价，评价内容包括学生专业综合实践能力、“双证”的获取率和毕业生就业率及就业质量，专兼职教师教学质量， 逐步形成校企合作，工学结合人才培养模式下多元化教学质量评价标准体系。</w:t>
      </w:r>
    </w:p>
    <w:p>
      <w:pPr>
        <w:pStyle w:val="54"/>
        <w:numPr>
          <w:ilvl w:val="0"/>
          <w:numId w:val="7"/>
        </w:numPr>
        <w:adjustRightInd w:val="0"/>
        <w:snapToGrid w:val="0"/>
        <w:spacing w:before="100" w:beforeAutospacing="1" w:after="100" w:afterAutospacing="1"/>
        <w:outlineLvl w:val="1"/>
        <w:rPr>
          <w:rFonts w:ascii="宋体" w:hAnsi="宋体" w:eastAsia="宋体" w:cs="宋体"/>
          <w:color w:val="auto"/>
          <w:sz w:val="24"/>
        </w:rPr>
      </w:pPr>
      <w:bookmarkStart w:id="101" w:name="_Toc9494"/>
      <w:bookmarkStart w:id="102" w:name="_Toc116"/>
      <w:bookmarkStart w:id="103" w:name="_Toc30465"/>
      <w:bookmarkStart w:id="104" w:name="_Toc16334"/>
      <w:bookmarkStart w:id="105" w:name="_Toc24701"/>
      <w:bookmarkStart w:id="106" w:name="_Toc5207"/>
      <w:bookmarkStart w:id="107" w:name="_Toc10932"/>
      <w:r>
        <w:rPr>
          <w:rFonts w:hint="eastAsia" w:ascii="宋体" w:hAnsi="宋体" w:eastAsia="宋体" w:cs="宋体"/>
          <w:color w:val="auto"/>
          <w:sz w:val="24"/>
        </w:rPr>
        <w:t>课堂教学效果评价方式</w:t>
      </w:r>
      <w:bookmarkEnd w:id="101"/>
      <w:bookmarkEnd w:id="102"/>
      <w:bookmarkEnd w:id="103"/>
      <w:bookmarkEnd w:id="104"/>
      <w:bookmarkEnd w:id="105"/>
      <w:bookmarkEnd w:id="106"/>
      <w:bookmarkEnd w:id="107"/>
    </w:p>
    <w:p>
      <w:pPr>
        <w:pStyle w:val="54"/>
        <w:adjustRightInd w:val="0"/>
        <w:snapToGrid w:val="0"/>
        <w:spacing w:before="100" w:beforeAutospacing="1" w:after="100" w:afterAutospacing="1"/>
        <w:rPr>
          <w:rFonts w:hint="eastAsia" w:ascii="宋体" w:hAnsi="宋体" w:eastAsia="宋体" w:cs="Times New Roman"/>
          <w:color w:val="auto"/>
          <w:kern w:val="2"/>
          <w:sz w:val="24"/>
          <w:szCs w:val="22"/>
          <w:lang w:val="en-US" w:eastAsia="zh-CN" w:bidi="ar-SA"/>
        </w:rPr>
      </w:pPr>
      <w:r>
        <w:rPr>
          <w:rFonts w:hint="eastAsia" w:ascii="宋体" w:hAnsi="宋体" w:eastAsia="宋体" w:cs="宋体"/>
          <w:color w:val="auto"/>
          <w:sz w:val="24"/>
        </w:rPr>
        <w:t xml:space="preserve">    </w:t>
      </w:r>
      <w:r>
        <w:rPr>
          <w:rFonts w:hint="eastAsia" w:ascii="宋体" w:hAnsi="宋体" w:eastAsia="宋体" w:cs="Times New Roman"/>
          <w:color w:val="auto"/>
          <w:kern w:val="2"/>
          <w:sz w:val="24"/>
          <w:szCs w:val="22"/>
          <w:lang w:val="en-US" w:eastAsia="zh-CN" w:bidi="ar-SA"/>
        </w:rPr>
        <w:t xml:space="preserve"> 采取灵活多样的评价方式，主要包括笔试、作业、课堂提问、课堂出勤、上机操作考核以及参加各类型专业技能竞赛的成绩等。</w:t>
      </w:r>
    </w:p>
    <w:p>
      <w:pPr>
        <w:pStyle w:val="54"/>
        <w:adjustRightInd w:val="0"/>
        <w:snapToGrid w:val="0"/>
        <w:spacing w:before="100" w:beforeAutospacing="1" w:after="100" w:afterAutospacing="1"/>
        <w:rPr>
          <w:rFonts w:ascii="宋体" w:hAnsi="宋体" w:eastAsia="宋体" w:cs="宋体"/>
          <w:color w:val="auto"/>
          <w:sz w:val="24"/>
        </w:rPr>
      </w:pPr>
      <w:bookmarkStart w:id="108" w:name="_Toc2738"/>
      <w:bookmarkStart w:id="109" w:name="_Toc3104"/>
      <w:bookmarkStart w:id="110" w:name="_Toc29405"/>
      <w:bookmarkStart w:id="111" w:name="_Toc30103"/>
      <w:bookmarkStart w:id="112" w:name="_Toc12706"/>
      <w:bookmarkStart w:id="113" w:name="_Toc21268"/>
      <w:bookmarkStart w:id="114" w:name="_Toc27322"/>
      <w:r>
        <w:rPr>
          <w:rFonts w:hint="eastAsia" w:ascii="宋体" w:hAnsi="宋体" w:eastAsia="宋体" w:cs="宋体"/>
          <w:color w:val="auto"/>
          <w:sz w:val="24"/>
        </w:rPr>
        <w:t>实训实习效果评价方式</w:t>
      </w:r>
      <w:bookmarkEnd w:id="108"/>
      <w:bookmarkEnd w:id="109"/>
      <w:bookmarkEnd w:id="110"/>
      <w:bookmarkEnd w:id="111"/>
      <w:bookmarkEnd w:id="112"/>
      <w:bookmarkEnd w:id="113"/>
      <w:bookmarkEnd w:id="114"/>
    </w:p>
    <w:p>
      <w:pPr>
        <w:pStyle w:val="54"/>
        <w:adjustRightInd w:val="0"/>
        <w:snapToGrid w:val="0"/>
        <w:spacing w:before="100" w:beforeAutospacing="1" w:after="100" w:afterAutospacing="1"/>
        <w:outlineLvl w:val="2"/>
        <w:rPr>
          <w:rFonts w:ascii="宋体" w:hAnsi="宋体" w:eastAsia="宋体" w:cs="宋体"/>
          <w:color w:val="auto"/>
          <w:sz w:val="24"/>
        </w:rPr>
      </w:pPr>
      <w:bookmarkStart w:id="115" w:name="_Toc25878"/>
      <w:bookmarkStart w:id="116" w:name="_Toc9635"/>
      <w:bookmarkStart w:id="117" w:name="_Toc15107"/>
      <w:bookmarkStart w:id="118" w:name="_Toc9392"/>
      <w:bookmarkStart w:id="119" w:name="_Toc6695"/>
      <w:r>
        <w:rPr>
          <w:rFonts w:hint="eastAsia" w:ascii="宋体" w:hAnsi="宋体" w:eastAsia="宋体" w:cs="宋体"/>
          <w:color w:val="auto"/>
          <w:sz w:val="24"/>
        </w:rPr>
        <w:t>1.实训实习评价</w:t>
      </w:r>
      <w:bookmarkEnd w:id="115"/>
      <w:bookmarkEnd w:id="116"/>
      <w:bookmarkEnd w:id="117"/>
      <w:bookmarkEnd w:id="118"/>
      <w:bookmarkEnd w:id="119"/>
    </w:p>
    <w:p>
      <w:pPr>
        <w:pStyle w:val="54"/>
        <w:adjustRightInd w:val="0"/>
        <w:snapToGrid w:val="0"/>
        <w:spacing w:before="100" w:beforeAutospacing="1" w:after="100" w:afterAutospacing="1"/>
        <w:rPr>
          <w:rFonts w:hint="eastAsia" w:ascii="宋体" w:hAnsi="宋体" w:eastAsia="宋体" w:cs="Times New Roman"/>
          <w:color w:val="auto"/>
          <w:kern w:val="2"/>
          <w:sz w:val="24"/>
          <w:szCs w:val="22"/>
          <w:lang w:val="en-US" w:eastAsia="zh-CN" w:bidi="ar-SA"/>
        </w:rPr>
      </w:pPr>
      <w:r>
        <w:rPr>
          <w:rFonts w:hint="eastAsia" w:ascii="宋体" w:hAnsi="宋体" w:eastAsia="宋体" w:cs="宋体"/>
          <w:color w:val="auto"/>
          <w:sz w:val="24"/>
        </w:rPr>
        <w:t xml:space="preserve">    </w:t>
      </w:r>
      <w:r>
        <w:rPr>
          <w:rFonts w:hint="eastAsia" w:ascii="宋体" w:hAnsi="宋体" w:eastAsia="宋体" w:cs="Times New Roman"/>
          <w:color w:val="auto"/>
          <w:kern w:val="2"/>
          <w:sz w:val="24"/>
          <w:szCs w:val="22"/>
          <w:lang w:val="en-US" w:eastAsia="zh-CN" w:bidi="ar-SA"/>
        </w:rPr>
        <w:t>采用实习报告与实践操作水平相结合等形式，如实反映学生对各项实训实习项目的技能水平。</w:t>
      </w:r>
    </w:p>
    <w:p>
      <w:pPr>
        <w:pStyle w:val="54"/>
        <w:adjustRightInd w:val="0"/>
        <w:snapToGrid w:val="0"/>
        <w:spacing w:before="100" w:beforeAutospacing="1" w:after="100" w:afterAutospacing="1"/>
        <w:outlineLvl w:val="2"/>
        <w:rPr>
          <w:rFonts w:ascii="宋体" w:hAnsi="宋体" w:eastAsia="宋体" w:cs="宋体"/>
          <w:color w:val="auto"/>
          <w:sz w:val="24"/>
        </w:rPr>
      </w:pPr>
      <w:bookmarkStart w:id="120" w:name="_Toc7749"/>
      <w:bookmarkStart w:id="121" w:name="_Toc12508"/>
      <w:bookmarkStart w:id="122" w:name="_Toc18311"/>
      <w:bookmarkStart w:id="123" w:name="_Toc10680"/>
      <w:bookmarkStart w:id="124" w:name="_Toc13537"/>
      <w:r>
        <w:rPr>
          <w:rFonts w:hint="eastAsia" w:ascii="宋体" w:hAnsi="宋体" w:eastAsia="宋体" w:cs="宋体"/>
          <w:color w:val="auto"/>
          <w:sz w:val="24"/>
        </w:rPr>
        <w:t>2.顶岗实习评价</w:t>
      </w:r>
      <w:bookmarkEnd w:id="120"/>
      <w:bookmarkEnd w:id="121"/>
      <w:bookmarkEnd w:id="122"/>
      <w:bookmarkEnd w:id="123"/>
      <w:bookmarkEnd w:id="124"/>
    </w:p>
    <w:p>
      <w:pPr>
        <w:pStyle w:val="54"/>
        <w:adjustRightInd w:val="0"/>
        <w:snapToGrid w:val="0"/>
        <w:spacing w:before="100" w:beforeAutospacing="1" w:after="100" w:afterAutospacing="1"/>
        <w:ind w:firstLine="480" w:firstLineChars="200"/>
        <w:rPr>
          <w:rFonts w:ascii="宋体" w:hAnsi="宋体" w:eastAsia="宋体" w:cs="宋体"/>
          <w:color w:val="auto"/>
          <w:sz w:val="24"/>
        </w:rPr>
      </w:pPr>
      <w:r>
        <w:rPr>
          <w:rFonts w:hint="eastAsia" w:ascii="宋体" w:hAnsi="宋体" w:eastAsia="宋体" w:cs="Times New Roman"/>
          <w:color w:val="auto"/>
          <w:kern w:val="2"/>
          <w:sz w:val="24"/>
          <w:szCs w:val="22"/>
          <w:lang w:val="en-US" w:eastAsia="zh-CN" w:bidi="ar-SA"/>
        </w:rPr>
        <w:t>顶岗实习考核方面包括实习日志、实习报告、实习单位综合评价鉴定等多层次、多方面的评价方式。</w:t>
      </w:r>
      <w:r>
        <w:rPr>
          <w:rFonts w:hint="eastAsia" w:ascii="宋体" w:hAnsi="宋体" w:eastAsia="宋体" w:cs="宋体"/>
          <w:color w:val="auto"/>
          <w:sz w:val="24"/>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pStyle w:val="54"/>
        <w:adjustRightInd w:val="0"/>
        <w:snapToGrid w:val="0"/>
        <w:spacing w:before="100" w:beforeAutospacing="1" w:after="100" w:afterAutospacing="1"/>
        <w:outlineLvl w:val="0"/>
        <w:rPr>
          <w:rFonts w:ascii="宋体" w:hAnsi="宋体" w:eastAsia="宋体"/>
          <w:color w:val="auto"/>
          <w:sz w:val="28"/>
          <w:szCs w:val="28"/>
        </w:rPr>
      </w:pPr>
      <w:r>
        <w:rPr>
          <w:rFonts w:hint="eastAsia" w:ascii="宋体" w:hAnsi="宋体" w:eastAsia="宋体"/>
          <w:color w:val="auto"/>
          <w:sz w:val="28"/>
          <w:szCs w:val="28"/>
        </w:rPr>
        <w:t>（六）质量管理</w:t>
      </w:r>
    </w:p>
    <w:p>
      <w:pPr>
        <w:pStyle w:val="54"/>
        <w:adjustRightInd w:val="0"/>
        <w:snapToGrid w:val="0"/>
        <w:spacing w:before="100" w:beforeAutospacing="1" w:after="100" w:afterAutospacing="1"/>
        <w:ind w:firstLine="48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教学质量管理体系构成及其要素包括：一是教学管理职责系统，如教学质量方针和目标、教学</w:t>
      </w:r>
      <w:r>
        <w:rPr>
          <w:rFonts w:hint="eastAsia" w:ascii="宋体" w:hAnsi="宋体" w:eastAsia="宋体" w:cs="Times New Roman"/>
          <w:color w:val="auto"/>
          <w:kern w:val="2"/>
          <w:sz w:val="24"/>
          <w:szCs w:val="24"/>
          <w:lang w:val="en-US" w:eastAsia="zh-CN" w:bidi="ar-SA"/>
        </w:rPr>
        <w:fldChar w:fldCharType="begin"/>
      </w:r>
      <w:r>
        <w:rPr>
          <w:rFonts w:hint="eastAsia" w:ascii="宋体" w:hAnsi="宋体" w:eastAsia="宋体" w:cs="Times New Roman"/>
          <w:color w:val="auto"/>
          <w:kern w:val="2"/>
          <w:sz w:val="24"/>
          <w:szCs w:val="24"/>
          <w:lang w:val="en-US" w:eastAsia="zh-CN" w:bidi="ar-SA"/>
        </w:rPr>
        <w:instrText xml:space="preserve"> HYPERLINK "https://baike.baidu.com/item/%E7%AE%A1%E7%90%86%E8%80%85%E4%BB%A3%E8%A1%A8" \t "_blank" </w:instrText>
      </w:r>
      <w:r>
        <w:rPr>
          <w:rFonts w:hint="eastAsia" w:ascii="宋体" w:hAnsi="宋体" w:eastAsia="宋体" w:cs="Times New Roman"/>
          <w:color w:val="auto"/>
          <w:kern w:val="2"/>
          <w:sz w:val="24"/>
          <w:szCs w:val="24"/>
          <w:lang w:val="en-US" w:eastAsia="zh-CN" w:bidi="ar-SA"/>
        </w:rPr>
        <w:fldChar w:fldCharType="separate"/>
      </w:r>
      <w:r>
        <w:rPr>
          <w:rFonts w:hint="eastAsia" w:ascii="宋体" w:hAnsi="宋体" w:eastAsia="宋体" w:cs="Times New Roman"/>
          <w:color w:val="auto"/>
          <w:kern w:val="2"/>
          <w:sz w:val="24"/>
          <w:szCs w:val="24"/>
          <w:lang w:val="en-US" w:eastAsia="zh-CN" w:bidi="ar-SA"/>
        </w:rPr>
        <w:t>管理者代表</w:t>
      </w:r>
      <w:r>
        <w:rPr>
          <w:rFonts w:hint="eastAsia" w:ascii="宋体" w:hAnsi="宋体" w:eastAsia="宋体" w:cs="Times New Roman"/>
          <w:color w:val="auto"/>
          <w:kern w:val="2"/>
          <w:sz w:val="24"/>
          <w:szCs w:val="24"/>
          <w:lang w:val="en-US" w:eastAsia="zh-CN" w:bidi="ar-SA"/>
        </w:rPr>
        <w:fldChar w:fldCharType="end"/>
      </w:r>
      <w:r>
        <w:rPr>
          <w:rFonts w:hint="eastAsia" w:ascii="宋体" w:hAnsi="宋体" w:eastAsia="宋体" w:cs="Times New Roman"/>
          <w:color w:val="auto"/>
          <w:kern w:val="2"/>
          <w:sz w:val="24"/>
          <w:szCs w:val="24"/>
          <w:lang w:val="en-US" w:eastAsia="zh-CN" w:bidi="ar-SA"/>
        </w:rPr>
        <w:t>、教学质量管理机构和教学管理评审等要素。二是教学资源管理系统，如教师引进招聘和晋升、教师进修与培训、教师绩效评价、教学仪器设备采购与利用管理、图书设施场所与藏量等。三是教学输入系统，如培养方案、招生与注册、开学、教材、课本等。四是教学过程系统，如教与学、班级管理、教务管理、课程开发、科研活动、考试与考查等。五是教学输出系统，如升学、毕业等。六是教学质量测量、分析与改进系统，如教学检查、教学评价、顾客投诉处理、教学资料</w:t>
      </w:r>
      <w:r>
        <w:rPr>
          <w:rFonts w:hint="eastAsia" w:ascii="宋体" w:hAnsi="宋体" w:eastAsia="宋体" w:cs="Times New Roman"/>
          <w:color w:val="auto"/>
          <w:kern w:val="2"/>
          <w:sz w:val="24"/>
          <w:szCs w:val="24"/>
          <w:lang w:val="en-US" w:eastAsia="zh-CN" w:bidi="ar-SA"/>
        </w:rPr>
        <w:fldChar w:fldCharType="begin"/>
      </w:r>
      <w:r>
        <w:rPr>
          <w:rFonts w:hint="eastAsia" w:ascii="宋体" w:hAnsi="宋体" w:eastAsia="宋体" w:cs="Times New Roman"/>
          <w:color w:val="auto"/>
          <w:kern w:val="2"/>
          <w:sz w:val="24"/>
          <w:szCs w:val="24"/>
          <w:lang w:val="en-US" w:eastAsia="zh-CN" w:bidi="ar-SA"/>
        </w:rPr>
        <w:instrText xml:space="preserve"> HYPERLINK "https://baike.baidu.com/item/%E7%BB%9F%E8%AE%A1%E6%8A%80%E6%9C%AF" \t "_blank" </w:instrText>
      </w:r>
      <w:r>
        <w:rPr>
          <w:rFonts w:hint="eastAsia" w:ascii="宋体" w:hAnsi="宋体" w:eastAsia="宋体" w:cs="Times New Roman"/>
          <w:color w:val="auto"/>
          <w:kern w:val="2"/>
          <w:sz w:val="24"/>
          <w:szCs w:val="24"/>
          <w:lang w:val="en-US" w:eastAsia="zh-CN" w:bidi="ar-SA"/>
        </w:rPr>
        <w:fldChar w:fldCharType="separate"/>
      </w:r>
      <w:r>
        <w:rPr>
          <w:rFonts w:hint="eastAsia" w:ascii="宋体" w:hAnsi="宋体" w:eastAsia="宋体" w:cs="Times New Roman"/>
          <w:color w:val="auto"/>
          <w:kern w:val="2"/>
          <w:sz w:val="24"/>
          <w:szCs w:val="24"/>
          <w:lang w:val="en-US" w:eastAsia="zh-CN" w:bidi="ar-SA"/>
        </w:rPr>
        <w:t>统计技术</w:t>
      </w:r>
      <w:r>
        <w:rPr>
          <w:rFonts w:hint="eastAsia" w:ascii="宋体" w:hAnsi="宋体" w:eastAsia="宋体" w:cs="Times New Roman"/>
          <w:color w:val="auto"/>
          <w:kern w:val="2"/>
          <w:sz w:val="24"/>
          <w:szCs w:val="24"/>
          <w:lang w:val="en-US" w:eastAsia="zh-CN" w:bidi="ar-SA"/>
        </w:rPr>
        <w:fldChar w:fldCharType="end"/>
      </w:r>
      <w:r>
        <w:rPr>
          <w:rFonts w:hint="eastAsia" w:ascii="宋体" w:hAnsi="宋体" w:eastAsia="宋体" w:cs="Times New Roman"/>
          <w:color w:val="auto"/>
          <w:kern w:val="2"/>
          <w:sz w:val="24"/>
          <w:szCs w:val="24"/>
          <w:lang w:val="en-US" w:eastAsia="zh-CN" w:bidi="ar-SA"/>
        </w:rPr>
        <w:t>、纠正及</w:t>
      </w:r>
      <w:r>
        <w:rPr>
          <w:rFonts w:hint="eastAsia" w:ascii="宋体" w:hAnsi="宋体" w:eastAsia="宋体" w:cs="Times New Roman"/>
          <w:color w:val="auto"/>
          <w:kern w:val="2"/>
          <w:sz w:val="24"/>
          <w:szCs w:val="24"/>
          <w:lang w:val="en-US" w:eastAsia="zh-CN" w:bidi="ar-SA"/>
        </w:rPr>
        <w:fldChar w:fldCharType="begin"/>
      </w:r>
      <w:r>
        <w:rPr>
          <w:rFonts w:hint="eastAsia" w:ascii="宋体" w:hAnsi="宋体" w:eastAsia="宋体" w:cs="Times New Roman"/>
          <w:color w:val="auto"/>
          <w:kern w:val="2"/>
          <w:sz w:val="24"/>
          <w:szCs w:val="24"/>
          <w:lang w:val="en-US" w:eastAsia="zh-CN" w:bidi="ar-SA"/>
        </w:rPr>
        <w:instrText xml:space="preserve"> HYPERLINK "https://baike.baidu.com/item/%E7%BA%A0%E6%AD%A3%E6%8E%AA%E6%96%BD" \t "_blank" </w:instrText>
      </w:r>
      <w:r>
        <w:rPr>
          <w:rFonts w:hint="eastAsia" w:ascii="宋体" w:hAnsi="宋体" w:eastAsia="宋体" w:cs="Times New Roman"/>
          <w:color w:val="auto"/>
          <w:kern w:val="2"/>
          <w:sz w:val="24"/>
          <w:szCs w:val="24"/>
          <w:lang w:val="en-US" w:eastAsia="zh-CN" w:bidi="ar-SA"/>
        </w:rPr>
        <w:fldChar w:fldCharType="separate"/>
      </w:r>
      <w:r>
        <w:rPr>
          <w:rFonts w:hint="eastAsia" w:ascii="宋体" w:hAnsi="宋体" w:eastAsia="宋体" w:cs="Times New Roman"/>
          <w:color w:val="auto"/>
          <w:kern w:val="2"/>
          <w:sz w:val="24"/>
          <w:szCs w:val="24"/>
          <w:lang w:val="en-US" w:eastAsia="zh-CN" w:bidi="ar-SA"/>
        </w:rPr>
        <w:t>纠正措施</w:t>
      </w:r>
      <w:r>
        <w:rPr>
          <w:rFonts w:hint="eastAsia" w:ascii="宋体" w:hAnsi="宋体" w:eastAsia="宋体" w:cs="Times New Roman"/>
          <w:color w:val="auto"/>
          <w:kern w:val="2"/>
          <w:sz w:val="24"/>
          <w:szCs w:val="24"/>
          <w:lang w:val="en-US" w:eastAsia="zh-CN" w:bidi="ar-SA"/>
        </w:rPr>
        <w:fldChar w:fldCharType="end"/>
      </w:r>
      <w:r>
        <w:rPr>
          <w:rFonts w:hint="eastAsia"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fldChar w:fldCharType="begin"/>
      </w:r>
      <w:r>
        <w:rPr>
          <w:rFonts w:hint="eastAsia" w:ascii="宋体" w:hAnsi="宋体" w:eastAsia="宋体" w:cs="Times New Roman"/>
          <w:color w:val="auto"/>
          <w:kern w:val="2"/>
          <w:sz w:val="24"/>
          <w:szCs w:val="24"/>
          <w:lang w:val="en-US" w:eastAsia="zh-CN" w:bidi="ar-SA"/>
        </w:rPr>
        <w:instrText xml:space="preserve"> HYPERLINK "https://baike.baidu.com/item/%E9%A1%BE%E5%AE%A2%E6%BB%A1%E6%84%8F%E5%BA%A6%E8%B0%83%E6%9F%A5" \t "_blank" </w:instrText>
      </w:r>
      <w:r>
        <w:rPr>
          <w:rFonts w:hint="eastAsia" w:ascii="宋体" w:hAnsi="宋体" w:eastAsia="宋体" w:cs="Times New Roman"/>
          <w:color w:val="auto"/>
          <w:kern w:val="2"/>
          <w:sz w:val="24"/>
          <w:szCs w:val="24"/>
          <w:lang w:val="en-US" w:eastAsia="zh-CN" w:bidi="ar-SA"/>
        </w:rPr>
        <w:fldChar w:fldCharType="separate"/>
      </w:r>
      <w:r>
        <w:rPr>
          <w:rFonts w:hint="eastAsia" w:ascii="宋体" w:hAnsi="宋体" w:eastAsia="宋体" w:cs="Times New Roman"/>
          <w:color w:val="auto"/>
          <w:kern w:val="2"/>
          <w:sz w:val="24"/>
          <w:szCs w:val="24"/>
          <w:lang w:val="en-US" w:eastAsia="zh-CN" w:bidi="ar-SA"/>
        </w:rPr>
        <w:t>家长满意度调查</w:t>
      </w:r>
      <w:r>
        <w:rPr>
          <w:rFonts w:hint="eastAsia" w:ascii="宋体" w:hAnsi="宋体" w:eastAsia="宋体" w:cs="Times New Roman"/>
          <w:color w:val="auto"/>
          <w:kern w:val="2"/>
          <w:sz w:val="24"/>
          <w:szCs w:val="24"/>
          <w:lang w:val="en-US" w:eastAsia="zh-CN" w:bidi="ar-SA"/>
        </w:rPr>
        <w:fldChar w:fldCharType="end"/>
      </w:r>
      <w:r>
        <w:rPr>
          <w:rFonts w:hint="eastAsia" w:ascii="宋体" w:hAnsi="宋体" w:eastAsia="宋体" w:cs="Times New Roman"/>
          <w:color w:val="auto"/>
          <w:kern w:val="2"/>
          <w:sz w:val="24"/>
          <w:szCs w:val="24"/>
          <w:lang w:val="en-US" w:eastAsia="zh-CN" w:bidi="ar-SA"/>
        </w:rPr>
        <w:t>和教学督导评价等。教学质量管理体系需要受教育者、教育者、家长、社会、学校和政府共同参与实施，通过教学质量管理评价机制、监控机制、</w:t>
      </w:r>
      <w:r>
        <w:rPr>
          <w:rFonts w:hint="eastAsia" w:ascii="宋体" w:hAnsi="宋体" w:eastAsia="宋体" w:cs="Times New Roman"/>
          <w:color w:val="auto"/>
          <w:kern w:val="2"/>
          <w:sz w:val="24"/>
          <w:szCs w:val="24"/>
          <w:lang w:val="en-US" w:eastAsia="zh-CN" w:bidi="ar-SA"/>
        </w:rPr>
        <w:fldChar w:fldCharType="begin"/>
      </w:r>
      <w:r>
        <w:rPr>
          <w:rFonts w:hint="eastAsia" w:ascii="宋体" w:hAnsi="宋体" w:eastAsia="宋体" w:cs="Times New Roman"/>
          <w:color w:val="auto"/>
          <w:kern w:val="2"/>
          <w:sz w:val="24"/>
          <w:szCs w:val="24"/>
          <w:lang w:val="en-US" w:eastAsia="zh-CN" w:bidi="ar-SA"/>
        </w:rPr>
        <w:instrText xml:space="preserve"> HYPERLINK "https://baike.baidu.com/item/%E6%BF%80%E5%8A%B1%E6%9C%BA%E5%88%B6" \t "_blank" </w:instrText>
      </w:r>
      <w:r>
        <w:rPr>
          <w:rFonts w:hint="eastAsia" w:ascii="宋体" w:hAnsi="宋体" w:eastAsia="宋体" w:cs="Times New Roman"/>
          <w:color w:val="auto"/>
          <w:kern w:val="2"/>
          <w:sz w:val="24"/>
          <w:szCs w:val="24"/>
          <w:lang w:val="en-US" w:eastAsia="zh-CN" w:bidi="ar-SA"/>
        </w:rPr>
        <w:fldChar w:fldCharType="separate"/>
      </w:r>
      <w:r>
        <w:rPr>
          <w:rFonts w:hint="eastAsia" w:ascii="宋体" w:hAnsi="宋体" w:eastAsia="宋体" w:cs="Times New Roman"/>
          <w:color w:val="auto"/>
          <w:kern w:val="2"/>
          <w:sz w:val="24"/>
          <w:szCs w:val="24"/>
          <w:lang w:val="en-US" w:eastAsia="zh-CN" w:bidi="ar-SA"/>
        </w:rPr>
        <w:t>激励机制</w:t>
      </w:r>
      <w:r>
        <w:rPr>
          <w:rFonts w:hint="eastAsia" w:ascii="宋体" w:hAnsi="宋体" w:eastAsia="宋体" w:cs="Times New Roman"/>
          <w:color w:val="auto"/>
          <w:kern w:val="2"/>
          <w:sz w:val="24"/>
          <w:szCs w:val="24"/>
          <w:lang w:val="en-US" w:eastAsia="zh-CN" w:bidi="ar-SA"/>
        </w:rPr>
        <w:fldChar w:fldCharType="end"/>
      </w:r>
      <w:r>
        <w:rPr>
          <w:rFonts w:hint="eastAsia" w:ascii="宋体" w:hAnsi="宋体" w:eastAsia="宋体" w:cs="Times New Roman"/>
          <w:color w:val="auto"/>
          <w:kern w:val="2"/>
          <w:sz w:val="24"/>
          <w:szCs w:val="24"/>
          <w:lang w:val="en-US" w:eastAsia="zh-CN" w:bidi="ar-SA"/>
        </w:rPr>
        <w:t>的创新，运用高效的</w:t>
      </w:r>
      <w:r>
        <w:rPr>
          <w:rFonts w:hint="eastAsia" w:ascii="宋体" w:hAnsi="宋体" w:eastAsia="宋体" w:cs="Times New Roman"/>
          <w:color w:val="auto"/>
          <w:kern w:val="2"/>
          <w:sz w:val="24"/>
          <w:szCs w:val="24"/>
          <w:lang w:val="en-US" w:eastAsia="zh-CN" w:bidi="ar-SA"/>
        </w:rPr>
        <w:fldChar w:fldCharType="begin"/>
      </w:r>
      <w:r>
        <w:rPr>
          <w:rFonts w:hint="eastAsia" w:ascii="宋体" w:hAnsi="宋体" w:eastAsia="宋体" w:cs="Times New Roman"/>
          <w:color w:val="auto"/>
          <w:kern w:val="2"/>
          <w:sz w:val="24"/>
          <w:szCs w:val="24"/>
          <w:lang w:val="en-US" w:eastAsia="zh-CN" w:bidi="ar-SA"/>
        </w:rPr>
        <w:instrText xml:space="preserve"> HYPERLINK "https://baike.baidu.com/item/%E9%A2%86%E5%AF%BC%E5%86%B3%E7%AD%96" \t "_blank" </w:instrText>
      </w:r>
      <w:r>
        <w:rPr>
          <w:rFonts w:hint="eastAsia" w:ascii="宋体" w:hAnsi="宋体" w:eastAsia="宋体" w:cs="Times New Roman"/>
          <w:color w:val="auto"/>
          <w:kern w:val="2"/>
          <w:sz w:val="24"/>
          <w:szCs w:val="24"/>
          <w:lang w:val="en-US" w:eastAsia="zh-CN" w:bidi="ar-SA"/>
        </w:rPr>
        <w:fldChar w:fldCharType="separate"/>
      </w:r>
      <w:r>
        <w:rPr>
          <w:rFonts w:hint="eastAsia" w:ascii="宋体" w:hAnsi="宋体" w:eastAsia="宋体" w:cs="Times New Roman"/>
          <w:color w:val="auto"/>
          <w:kern w:val="2"/>
          <w:sz w:val="24"/>
          <w:szCs w:val="24"/>
          <w:lang w:val="en-US" w:eastAsia="zh-CN" w:bidi="ar-SA"/>
        </w:rPr>
        <w:t>领导决策</w:t>
      </w:r>
      <w:r>
        <w:rPr>
          <w:rFonts w:hint="eastAsia" w:ascii="宋体" w:hAnsi="宋体" w:eastAsia="宋体" w:cs="Times New Roman"/>
          <w:color w:val="auto"/>
          <w:kern w:val="2"/>
          <w:sz w:val="24"/>
          <w:szCs w:val="24"/>
          <w:lang w:val="en-US" w:eastAsia="zh-CN" w:bidi="ar-SA"/>
        </w:rPr>
        <w:fldChar w:fldCharType="end"/>
      </w:r>
      <w:r>
        <w:rPr>
          <w:rFonts w:hint="eastAsia" w:ascii="宋体" w:hAnsi="宋体" w:eastAsia="宋体" w:cs="Times New Roman"/>
          <w:color w:val="auto"/>
          <w:kern w:val="2"/>
          <w:sz w:val="24"/>
          <w:szCs w:val="24"/>
          <w:lang w:val="en-US" w:eastAsia="zh-CN" w:bidi="ar-SA"/>
        </w:rPr>
        <w:t>体系、健全的组织保障体系、全面的管理制度体系、灵活的信息反馈体系、严密的过程监控体系和严格的考核评价体系等整套运行机制实现预期的教学质量管理目标，然后再确定新的教学质量管理目标，这种方式是持续的、逐步的优化升级，只有这样才能促使教学质量管理体系日臻完善，管理质量不断提高。</w:t>
      </w:r>
    </w:p>
    <w:p>
      <w:pPr>
        <w:pStyle w:val="54"/>
        <w:adjustRightInd w:val="0"/>
        <w:snapToGrid w:val="0"/>
        <w:spacing w:before="100" w:beforeAutospacing="1" w:after="100" w:afterAutospacing="1"/>
        <w:outlineLvl w:val="0"/>
        <w:rPr>
          <w:rFonts w:ascii="宋体" w:hAnsi="宋体" w:eastAsia="宋体"/>
          <w:color w:val="auto"/>
          <w:sz w:val="28"/>
          <w:szCs w:val="28"/>
        </w:rPr>
      </w:pPr>
      <w:r>
        <w:rPr>
          <w:rFonts w:hint="eastAsia" w:ascii="宋体" w:hAnsi="宋体" w:eastAsia="宋体"/>
          <w:color w:val="auto"/>
          <w:sz w:val="28"/>
          <w:szCs w:val="28"/>
        </w:rPr>
        <w:t>十、毕业要求</w:t>
      </w:r>
    </w:p>
    <w:p>
      <w:pPr>
        <w:pStyle w:val="54"/>
        <w:adjustRightInd w:val="0"/>
        <w:snapToGrid w:val="0"/>
        <w:spacing w:before="100" w:beforeAutospacing="1" w:after="100" w:afterAutospacing="1"/>
        <w:ind w:firstLine="48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毕业要求是学生通过三年的学习，修满专业人才培养方案所规定的学分，达到本专业人才培养目标和培养规格的要求。应运用大数据等信息化手段记录、分析学生成长记录档案、职业素养达标等方面的内容，纳入综合素质考核，并将考核情况作为是否准予毕业的重要依据。</w:t>
      </w:r>
    </w:p>
    <w:p>
      <w:pPr>
        <w:pStyle w:val="54"/>
        <w:adjustRightInd w:val="0"/>
        <w:snapToGrid w:val="0"/>
        <w:spacing w:before="100" w:beforeAutospacing="1" w:after="100" w:afterAutospacing="1"/>
        <w:ind w:firstLine="480"/>
        <w:rPr>
          <w:rFonts w:hint="eastAsia" w:ascii="宋体" w:hAnsi="宋体" w:eastAsia="宋体" w:cs="Times New Roman"/>
          <w:color w:val="auto"/>
          <w:kern w:val="2"/>
          <w:sz w:val="24"/>
          <w:szCs w:val="24"/>
          <w:lang w:val="en-US" w:eastAsia="zh-CN" w:bidi="ar-SA"/>
        </w:rPr>
      </w:pPr>
    </w:p>
    <w:p>
      <w:pPr>
        <w:pStyle w:val="54"/>
        <w:adjustRightInd w:val="0"/>
        <w:snapToGrid w:val="0"/>
        <w:spacing w:before="100" w:beforeAutospacing="1" w:after="100" w:afterAutospacing="1"/>
        <w:ind w:firstLine="480"/>
        <w:rPr>
          <w:rFonts w:hint="eastAsia" w:ascii="宋体" w:hAnsi="宋体" w:eastAsia="宋体" w:cs="宋体"/>
          <w:color w:val="auto"/>
          <w:sz w:val="24"/>
        </w:rPr>
      </w:pPr>
      <w:r>
        <w:rPr>
          <w:rFonts w:hint="eastAsia" w:ascii="宋体" w:hAnsi="宋体" w:eastAsia="宋体" w:cs="Times New Roman"/>
          <w:color w:val="auto"/>
          <w:kern w:val="2"/>
          <w:sz w:val="24"/>
          <w:szCs w:val="24"/>
          <w:lang w:val="en-US" w:eastAsia="zh-CN" w:bidi="ar-SA"/>
        </w:rPr>
        <w:drawing>
          <wp:inline distT="0" distB="0" distL="114300" distR="114300">
            <wp:extent cx="5265420" cy="7692390"/>
            <wp:effectExtent l="0" t="0" r="7620" b="3810"/>
            <wp:docPr id="5" name="图片 5" descr="c1780a79d918af8f0fdd983bd174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1780a79d918af8f0fdd983bd174aea"/>
                    <pic:cNvPicPr>
                      <a:picLocks noChangeAspect="1"/>
                    </pic:cNvPicPr>
                  </pic:nvPicPr>
                  <pic:blipFill>
                    <a:blip r:embed="rId8"/>
                    <a:stretch>
                      <a:fillRect/>
                    </a:stretch>
                  </pic:blipFill>
                  <pic:spPr>
                    <a:xfrm>
                      <a:off x="0" y="0"/>
                      <a:ext cx="5265420" cy="7692390"/>
                    </a:xfrm>
                    <a:prstGeom prst="rect">
                      <a:avLst/>
                    </a:prstGeom>
                  </pic:spPr>
                </pic:pic>
              </a:graphicData>
            </a:graphic>
          </wp:inline>
        </w:drawing>
      </w:r>
    </w:p>
    <w:p>
      <w:pPr>
        <w:pStyle w:val="54"/>
        <w:adjustRightInd w:val="0"/>
        <w:snapToGrid w:val="0"/>
        <w:spacing w:before="100" w:beforeAutospacing="1" w:after="100" w:afterAutospacing="1"/>
        <w:rPr>
          <w:rFonts w:hint="eastAsia" w:ascii="宋体" w:hAnsi="宋体" w:eastAsia="宋体" w:cs="宋体"/>
          <w:color w:val="auto"/>
          <w:sz w:val="24"/>
        </w:rPr>
      </w:pPr>
    </w:p>
    <w:p>
      <w:pPr>
        <w:pStyle w:val="54"/>
        <w:adjustRightInd w:val="0"/>
        <w:snapToGrid w:val="0"/>
        <w:spacing w:before="100" w:beforeAutospacing="1" w:after="100" w:afterAutospacing="1"/>
        <w:ind w:firstLine="480"/>
        <w:rPr>
          <w:rFonts w:hint="eastAsia" w:ascii="宋体" w:hAnsi="宋体" w:eastAsia="宋体" w:cs="宋体"/>
          <w:color w:val="auto"/>
          <w:sz w:val="24"/>
        </w:rPr>
      </w:pPr>
    </w:p>
    <w:p>
      <w:pPr>
        <w:spacing w:before="100" w:beforeAutospacing="1" w:after="100" w:afterAutospacing="1"/>
        <w:rPr>
          <w:rFonts w:ascii="宋体" w:hAnsi="宋体" w:eastAsia="宋体"/>
          <w:color w:val="auto"/>
          <w:sz w:val="24"/>
          <w:szCs w:val="24"/>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简体">
    <w:altName w:val="黑体"/>
    <w:panose1 w:val="02010601030101010101"/>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CBA78"/>
    <w:multiLevelType w:val="singleLevel"/>
    <w:tmpl w:val="8FBCBA78"/>
    <w:lvl w:ilvl="0" w:tentative="0">
      <w:start w:val="3"/>
      <w:numFmt w:val="decimal"/>
      <w:suff w:val="nothing"/>
      <w:lvlText w:val="（%1）"/>
      <w:lvlJc w:val="left"/>
    </w:lvl>
  </w:abstractNum>
  <w:abstractNum w:abstractNumId="1">
    <w:nsid w:val="91FB996E"/>
    <w:multiLevelType w:val="singleLevel"/>
    <w:tmpl w:val="91FB996E"/>
    <w:lvl w:ilvl="0" w:tentative="0">
      <w:start w:val="4"/>
      <w:numFmt w:val="decimal"/>
      <w:suff w:val="nothing"/>
      <w:lvlText w:val="%1、"/>
      <w:lvlJc w:val="left"/>
    </w:lvl>
  </w:abstractNum>
  <w:abstractNum w:abstractNumId="2">
    <w:nsid w:val="C43ACA11"/>
    <w:multiLevelType w:val="singleLevel"/>
    <w:tmpl w:val="C43ACA11"/>
    <w:lvl w:ilvl="0" w:tentative="0">
      <w:start w:val="2"/>
      <w:numFmt w:val="chineseCounting"/>
      <w:suff w:val="nothing"/>
      <w:lvlText w:val="（%1）"/>
      <w:lvlJc w:val="left"/>
      <w:rPr>
        <w:rFonts w:hint="eastAsia"/>
      </w:rPr>
    </w:lvl>
  </w:abstractNum>
  <w:abstractNum w:abstractNumId="3">
    <w:nsid w:val="2479CECE"/>
    <w:multiLevelType w:val="singleLevel"/>
    <w:tmpl w:val="2479CECE"/>
    <w:lvl w:ilvl="0" w:tentative="0">
      <w:start w:val="1"/>
      <w:numFmt w:val="chineseCounting"/>
      <w:suff w:val="nothing"/>
      <w:lvlText w:val="（%1）"/>
      <w:lvlJc w:val="left"/>
      <w:rPr>
        <w:rFonts w:hint="eastAsia"/>
      </w:rPr>
    </w:lvl>
  </w:abstractNum>
  <w:abstractNum w:abstractNumId="4">
    <w:nsid w:val="5AAB24D9"/>
    <w:multiLevelType w:val="singleLevel"/>
    <w:tmpl w:val="5AAB24D9"/>
    <w:lvl w:ilvl="0" w:tentative="0">
      <w:start w:val="2"/>
      <w:numFmt w:val="decimal"/>
      <w:lvlText w:val="%1."/>
      <w:lvlJc w:val="left"/>
      <w:pPr>
        <w:tabs>
          <w:tab w:val="left" w:pos="312"/>
        </w:tabs>
      </w:pPr>
    </w:lvl>
  </w:abstractNum>
  <w:abstractNum w:abstractNumId="5">
    <w:nsid w:val="6B0C7D8C"/>
    <w:multiLevelType w:val="multilevel"/>
    <w:tmpl w:val="6B0C7D8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pStyle w:val="4"/>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1A537F"/>
    <w:multiLevelType w:val="singleLevel"/>
    <w:tmpl w:val="7B1A537F"/>
    <w:lvl w:ilvl="0" w:tentative="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NzFmZjVhNzVkZjhiZTEyN2M1MDBjN2RjZTMzMTgifQ=="/>
  </w:docVars>
  <w:rsids>
    <w:rsidRoot w:val="00C22F8F"/>
    <w:rsid w:val="00064BA7"/>
    <w:rsid w:val="00065647"/>
    <w:rsid w:val="000A4E80"/>
    <w:rsid w:val="000F28DF"/>
    <w:rsid w:val="000F5CC2"/>
    <w:rsid w:val="00103240"/>
    <w:rsid w:val="001579E8"/>
    <w:rsid w:val="0017463F"/>
    <w:rsid w:val="001849B5"/>
    <w:rsid w:val="00274A4D"/>
    <w:rsid w:val="00352AC8"/>
    <w:rsid w:val="00367EF0"/>
    <w:rsid w:val="003C05CE"/>
    <w:rsid w:val="003F7419"/>
    <w:rsid w:val="00455540"/>
    <w:rsid w:val="004966E9"/>
    <w:rsid w:val="00512372"/>
    <w:rsid w:val="00530C3B"/>
    <w:rsid w:val="005539CA"/>
    <w:rsid w:val="00581BD4"/>
    <w:rsid w:val="005A6498"/>
    <w:rsid w:val="005C192E"/>
    <w:rsid w:val="005D1BDA"/>
    <w:rsid w:val="005E2278"/>
    <w:rsid w:val="006058EB"/>
    <w:rsid w:val="006301A0"/>
    <w:rsid w:val="00660B4B"/>
    <w:rsid w:val="00694421"/>
    <w:rsid w:val="00694A67"/>
    <w:rsid w:val="006A0ABD"/>
    <w:rsid w:val="006F7F78"/>
    <w:rsid w:val="007757AD"/>
    <w:rsid w:val="007D6E3B"/>
    <w:rsid w:val="00825519"/>
    <w:rsid w:val="008325CB"/>
    <w:rsid w:val="0084286D"/>
    <w:rsid w:val="00933CC3"/>
    <w:rsid w:val="009365F8"/>
    <w:rsid w:val="00957C9E"/>
    <w:rsid w:val="00957ED0"/>
    <w:rsid w:val="00975211"/>
    <w:rsid w:val="009779A9"/>
    <w:rsid w:val="0099411A"/>
    <w:rsid w:val="009E339A"/>
    <w:rsid w:val="00A44920"/>
    <w:rsid w:val="00A65A47"/>
    <w:rsid w:val="00A758D4"/>
    <w:rsid w:val="00AA5F9A"/>
    <w:rsid w:val="00BF783D"/>
    <w:rsid w:val="00C10359"/>
    <w:rsid w:val="00C22F8F"/>
    <w:rsid w:val="00C531ED"/>
    <w:rsid w:val="00C82D25"/>
    <w:rsid w:val="00CC7D72"/>
    <w:rsid w:val="00CE19BF"/>
    <w:rsid w:val="00CF19E0"/>
    <w:rsid w:val="00D65A5B"/>
    <w:rsid w:val="00DD3096"/>
    <w:rsid w:val="00DF53B4"/>
    <w:rsid w:val="00DF61EB"/>
    <w:rsid w:val="00DF7E8F"/>
    <w:rsid w:val="00E071B2"/>
    <w:rsid w:val="00E274A5"/>
    <w:rsid w:val="00E74DF6"/>
    <w:rsid w:val="00EB3249"/>
    <w:rsid w:val="00ED2DE6"/>
    <w:rsid w:val="00EF0230"/>
    <w:rsid w:val="00EF11A2"/>
    <w:rsid w:val="00FC37B5"/>
    <w:rsid w:val="00FE1DCC"/>
    <w:rsid w:val="00FE7B94"/>
    <w:rsid w:val="022278B2"/>
    <w:rsid w:val="028E4F47"/>
    <w:rsid w:val="02B96468"/>
    <w:rsid w:val="03062D2F"/>
    <w:rsid w:val="03A74512"/>
    <w:rsid w:val="03B94246"/>
    <w:rsid w:val="053A13B6"/>
    <w:rsid w:val="06936FD0"/>
    <w:rsid w:val="08DC36D6"/>
    <w:rsid w:val="08E04023"/>
    <w:rsid w:val="0907659B"/>
    <w:rsid w:val="09436A8B"/>
    <w:rsid w:val="09C37BCC"/>
    <w:rsid w:val="0A8B31DD"/>
    <w:rsid w:val="0B4765DB"/>
    <w:rsid w:val="0CF12CA2"/>
    <w:rsid w:val="0D941D0C"/>
    <w:rsid w:val="0E455054"/>
    <w:rsid w:val="11D34725"/>
    <w:rsid w:val="12A8795F"/>
    <w:rsid w:val="12D231A7"/>
    <w:rsid w:val="13545D39"/>
    <w:rsid w:val="138228A6"/>
    <w:rsid w:val="13E946D3"/>
    <w:rsid w:val="13F35552"/>
    <w:rsid w:val="15690A3B"/>
    <w:rsid w:val="157224A6"/>
    <w:rsid w:val="15FC6940"/>
    <w:rsid w:val="167A5AB7"/>
    <w:rsid w:val="18100480"/>
    <w:rsid w:val="182409FB"/>
    <w:rsid w:val="1B781F51"/>
    <w:rsid w:val="1B854CE1"/>
    <w:rsid w:val="1D1502E7"/>
    <w:rsid w:val="1D586BC9"/>
    <w:rsid w:val="1DE75C67"/>
    <w:rsid w:val="1E075E82"/>
    <w:rsid w:val="1E3B3D7D"/>
    <w:rsid w:val="1E546BED"/>
    <w:rsid w:val="1EA77665"/>
    <w:rsid w:val="1FC81641"/>
    <w:rsid w:val="1FEA7809"/>
    <w:rsid w:val="201C7BDE"/>
    <w:rsid w:val="20337402"/>
    <w:rsid w:val="2043516B"/>
    <w:rsid w:val="221B014E"/>
    <w:rsid w:val="230A01C2"/>
    <w:rsid w:val="2355143D"/>
    <w:rsid w:val="23902475"/>
    <w:rsid w:val="24226315"/>
    <w:rsid w:val="24297013"/>
    <w:rsid w:val="244871F4"/>
    <w:rsid w:val="24AA7567"/>
    <w:rsid w:val="257A162F"/>
    <w:rsid w:val="259568D4"/>
    <w:rsid w:val="26891A91"/>
    <w:rsid w:val="269C7383"/>
    <w:rsid w:val="26A1499A"/>
    <w:rsid w:val="26B366AE"/>
    <w:rsid w:val="26D134D1"/>
    <w:rsid w:val="271C2272"/>
    <w:rsid w:val="28804724"/>
    <w:rsid w:val="293B7327"/>
    <w:rsid w:val="29C70BBB"/>
    <w:rsid w:val="29CF465F"/>
    <w:rsid w:val="2A4B359A"/>
    <w:rsid w:val="2ABF1722"/>
    <w:rsid w:val="2B255B99"/>
    <w:rsid w:val="2C862667"/>
    <w:rsid w:val="2C923CD3"/>
    <w:rsid w:val="2CF241A1"/>
    <w:rsid w:val="2D256324"/>
    <w:rsid w:val="2D662499"/>
    <w:rsid w:val="2D807C69"/>
    <w:rsid w:val="2E8C4181"/>
    <w:rsid w:val="2FE36023"/>
    <w:rsid w:val="30406FD1"/>
    <w:rsid w:val="306B1B53"/>
    <w:rsid w:val="30DF4A3C"/>
    <w:rsid w:val="311346E6"/>
    <w:rsid w:val="3166697A"/>
    <w:rsid w:val="327F0285"/>
    <w:rsid w:val="32C05AE0"/>
    <w:rsid w:val="330E33B7"/>
    <w:rsid w:val="338127F6"/>
    <w:rsid w:val="33CA47E5"/>
    <w:rsid w:val="33F24A86"/>
    <w:rsid w:val="34433534"/>
    <w:rsid w:val="359C2EFC"/>
    <w:rsid w:val="35D97CAC"/>
    <w:rsid w:val="363C648D"/>
    <w:rsid w:val="3652695F"/>
    <w:rsid w:val="36CF10AF"/>
    <w:rsid w:val="38190834"/>
    <w:rsid w:val="38BD1B07"/>
    <w:rsid w:val="38D41001"/>
    <w:rsid w:val="39700795"/>
    <w:rsid w:val="39ED1F78"/>
    <w:rsid w:val="3A0B0650"/>
    <w:rsid w:val="3A414285"/>
    <w:rsid w:val="3AC504ED"/>
    <w:rsid w:val="3AF9494C"/>
    <w:rsid w:val="3CEF4259"/>
    <w:rsid w:val="3D85696B"/>
    <w:rsid w:val="3E4E3201"/>
    <w:rsid w:val="3FB76E94"/>
    <w:rsid w:val="40C8729B"/>
    <w:rsid w:val="40DC68A2"/>
    <w:rsid w:val="41BD4926"/>
    <w:rsid w:val="432B58BF"/>
    <w:rsid w:val="436314FD"/>
    <w:rsid w:val="44562E10"/>
    <w:rsid w:val="44EE3048"/>
    <w:rsid w:val="44FF0DB1"/>
    <w:rsid w:val="458C1BD9"/>
    <w:rsid w:val="458D2861"/>
    <w:rsid w:val="45967968"/>
    <w:rsid w:val="46E76F97"/>
    <w:rsid w:val="48081E03"/>
    <w:rsid w:val="48735D3E"/>
    <w:rsid w:val="488457BC"/>
    <w:rsid w:val="48B40105"/>
    <w:rsid w:val="48DB38E3"/>
    <w:rsid w:val="48DF509F"/>
    <w:rsid w:val="49545CF4"/>
    <w:rsid w:val="4A34774F"/>
    <w:rsid w:val="4AFA2747"/>
    <w:rsid w:val="4BA112BF"/>
    <w:rsid w:val="4C96024D"/>
    <w:rsid w:val="4D3161C8"/>
    <w:rsid w:val="4E4C150B"/>
    <w:rsid w:val="4F9F38BD"/>
    <w:rsid w:val="50774AE5"/>
    <w:rsid w:val="51215FCE"/>
    <w:rsid w:val="52833022"/>
    <w:rsid w:val="52862B12"/>
    <w:rsid w:val="52EA30A1"/>
    <w:rsid w:val="534704F3"/>
    <w:rsid w:val="53A30798"/>
    <w:rsid w:val="53C51418"/>
    <w:rsid w:val="559317CE"/>
    <w:rsid w:val="56102E1E"/>
    <w:rsid w:val="561641AD"/>
    <w:rsid w:val="56BF4844"/>
    <w:rsid w:val="57A001D2"/>
    <w:rsid w:val="57E26A3C"/>
    <w:rsid w:val="58F5454D"/>
    <w:rsid w:val="59741916"/>
    <w:rsid w:val="597B2CA5"/>
    <w:rsid w:val="599E2E37"/>
    <w:rsid w:val="59A246D5"/>
    <w:rsid w:val="5A5534F6"/>
    <w:rsid w:val="5ABD72ED"/>
    <w:rsid w:val="5B463DE6"/>
    <w:rsid w:val="5C2869E8"/>
    <w:rsid w:val="5C4943A0"/>
    <w:rsid w:val="5CC06161"/>
    <w:rsid w:val="5CC606DB"/>
    <w:rsid w:val="5CF74D38"/>
    <w:rsid w:val="5D6972B8"/>
    <w:rsid w:val="5DD15589"/>
    <w:rsid w:val="5E267CA2"/>
    <w:rsid w:val="5EB6477F"/>
    <w:rsid w:val="5ED13367"/>
    <w:rsid w:val="5FC52828"/>
    <w:rsid w:val="60863D7A"/>
    <w:rsid w:val="60C17638"/>
    <w:rsid w:val="61656B6E"/>
    <w:rsid w:val="61ED20DA"/>
    <w:rsid w:val="620B4DE2"/>
    <w:rsid w:val="62B62F9F"/>
    <w:rsid w:val="641B57B0"/>
    <w:rsid w:val="667411A7"/>
    <w:rsid w:val="667C005C"/>
    <w:rsid w:val="672D3C54"/>
    <w:rsid w:val="680A6B4F"/>
    <w:rsid w:val="683230C8"/>
    <w:rsid w:val="68640B65"/>
    <w:rsid w:val="687436E1"/>
    <w:rsid w:val="68972DED"/>
    <w:rsid w:val="69F8407A"/>
    <w:rsid w:val="6A024D1C"/>
    <w:rsid w:val="6A4F7008"/>
    <w:rsid w:val="6A9A31A7"/>
    <w:rsid w:val="6B623CC4"/>
    <w:rsid w:val="6C7C0DB6"/>
    <w:rsid w:val="6DA305C4"/>
    <w:rsid w:val="6DDB7D5E"/>
    <w:rsid w:val="6E6C6C08"/>
    <w:rsid w:val="6F0D03EB"/>
    <w:rsid w:val="6F1A65EB"/>
    <w:rsid w:val="6F575089"/>
    <w:rsid w:val="7080699B"/>
    <w:rsid w:val="70903082"/>
    <w:rsid w:val="729F57FE"/>
    <w:rsid w:val="731D4975"/>
    <w:rsid w:val="738B7B30"/>
    <w:rsid w:val="74E90FB2"/>
    <w:rsid w:val="750202C6"/>
    <w:rsid w:val="757F36C5"/>
    <w:rsid w:val="75DE03EB"/>
    <w:rsid w:val="76A72ED3"/>
    <w:rsid w:val="779A47E6"/>
    <w:rsid w:val="786579DD"/>
    <w:rsid w:val="78D36201"/>
    <w:rsid w:val="78E51A91"/>
    <w:rsid w:val="791E4FA3"/>
    <w:rsid w:val="7A8A2BB1"/>
    <w:rsid w:val="7C8141C6"/>
    <w:rsid w:val="7CBB18DD"/>
    <w:rsid w:val="7ECF3597"/>
    <w:rsid w:val="7F0A23B0"/>
    <w:rsid w:val="7F482E61"/>
    <w:rsid w:val="7FA8135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jc w:val="center"/>
      <w:outlineLvl w:val="0"/>
    </w:pPr>
    <w:rPr>
      <w:rFonts w:ascii="Calibri" w:hAnsi="Calibri" w:eastAsia="宋体" w:cs="Times New Roman"/>
      <w:b/>
      <w:sz w:val="36"/>
      <w:szCs w:val="2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7"/>
    <w:qFormat/>
    <w:uiPriority w:val="0"/>
    <w:pPr>
      <w:keepNext/>
      <w:keepLines/>
      <w:numPr>
        <w:ilvl w:val="2"/>
        <w:numId w:val="1"/>
      </w:numPr>
      <w:spacing w:before="60" w:line="300" w:lineRule="auto"/>
      <w:jc w:val="left"/>
      <w:outlineLvl w:val="2"/>
    </w:pPr>
    <w:rPr>
      <w:rFonts w:ascii="Calibri" w:hAnsi="Calibri" w:eastAsia="黑体" w:cs="Times New Roman"/>
      <w:b/>
      <w:sz w:val="24"/>
      <w:szCs w:val="20"/>
    </w:rPr>
  </w:style>
  <w:style w:type="paragraph" w:styleId="5">
    <w:name w:val="heading 4"/>
    <w:basedOn w:val="1"/>
    <w:next w:val="6"/>
    <w:link w:val="28"/>
    <w:qFormat/>
    <w:uiPriority w:val="0"/>
    <w:pPr>
      <w:keepNext/>
      <w:keepLines/>
      <w:numPr>
        <w:ilvl w:val="3"/>
        <w:numId w:val="1"/>
      </w:numPr>
      <w:adjustRightInd w:val="0"/>
      <w:snapToGrid w:val="0"/>
      <w:spacing w:before="120" w:line="300" w:lineRule="auto"/>
      <w:outlineLvl w:val="3"/>
    </w:pPr>
    <w:rPr>
      <w:rFonts w:ascii="Arial" w:hAnsi="Arial" w:eastAsia="楷体_GB2312" w:cs="Times New Roman"/>
      <w:b/>
      <w:sz w:val="24"/>
      <w:szCs w:val="20"/>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Body Text"/>
    <w:basedOn w:val="1"/>
    <w:link w:val="55"/>
    <w:semiHidden/>
    <w:unhideWhenUsed/>
    <w:qFormat/>
    <w:uiPriority w:val="99"/>
    <w:pPr>
      <w:spacing w:after="120"/>
    </w:pPr>
  </w:style>
  <w:style w:type="paragraph" w:styleId="8">
    <w:name w:val="Body Text Indent"/>
    <w:basedOn w:val="1"/>
    <w:link w:val="40"/>
    <w:qFormat/>
    <w:uiPriority w:val="0"/>
    <w:pPr>
      <w:ind w:firstLine="420" w:firstLineChars="200"/>
    </w:pPr>
    <w:rPr>
      <w:rFonts w:ascii="Calibri" w:hAnsi="Calibri" w:eastAsia="宋体" w:cs="Times New Roman"/>
      <w:szCs w:val="24"/>
    </w:rPr>
  </w:style>
  <w:style w:type="paragraph" w:styleId="9">
    <w:name w:val="toc 3"/>
    <w:basedOn w:val="1"/>
    <w:next w:val="1"/>
    <w:unhideWhenUsed/>
    <w:qFormat/>
    <w:uiPriority w:val="39"/>
    <w:pPr>
      <w:ind w:left="840" w:leftChars="400"/>
    </w:pPr>
    <w:rPr>
      <w:rFonts w:ascii="Calibri" w:hAnsi="Calibri" w:eastAsia="宋体" w:cs="Times New Roman"/>
    </w:rPr>
  </w:style>
  <w:style w:type="paragraph" w:styleId="10">
    <w:name w:val="Plain Text"/>
    <w:basedOn w:val="1"/>
    <w:link w:val="52"/>
    <w:qFormat/>
    <w:uiPriority w:val="0"/>
    <w:rPr>
      <w:rFonts w:ascii="宋体" w:hAnsi="Courier New" w:eastAsia="宋体" w:cs="黑体"/>
      <w:szCs w:val="21"/>
    </w:rPr>
  </w:style>
  <w:style w:type="paragraph" w:styleId="11">
    <w:name w:val="Date"/>
    <w:basedOn w:val="1"/>
    <w:next w:val="1"/>
    <w:link w:val="39"/>
    <w:qFormat/>
    <w:uiPriority w:val="0"/>
    <w:pPr>
      <w:ind w:left="2500" w:leftChars="2500"/>
    </w:pPr>
    <w:rPr>
      <w:rFonts w:ascii="Times New Roman" w:hAnsi="Times New Roman" w:eastAsia="宋体" w:cs="Times New Roman"/>
      <w:szCs w:val="24"/>
    </w:rPr>
  </w:style>
  <w:style w:type="paragraph" w:styleId="12">
    <w:name w:val="Body Text Indent 2"/>
    <w:basedOn w:val="1"/>
    <w:link w:val="44"/>
    <w:semiHidden/>
    <w:unhideWhenUsed/>
    <w:qFormat/>
    <w:uiPriority w:val="99"/>
    <w:pPr>
      <w:spacing w:after="120" w:line="480" w:lineRule="auto"/>
      <w:ind w:left="420" w:leftChars="200"/>
    </w:pPr>
    <w:rPr>
      <w:rFonts w:ascii="Calibri" w:hAnsi="Calibri" w:eastAsia="宋体" w:cs="Times New Roman"/>
    </w:rPr>
  </w:style>
  <w:style w:type="paragraph" w:styleId="13">
    <w:name w:val="Balloon Text"/>
    <w:basedOn w:val="1"/>
    <w:link w:val="45"/>
    <w:semiHidden/>
    <w:qFormat/>
    <w:uiPriority w:val="0"/>
    <w:rPr>
      <w:rFonts w:ascii="Times New Roman" w:hAnsi="Times New Roman" w:eastAsia="宋体" w:cs="Times New Roman"/>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rFonts w:ascii="Calibri" w:hAnsi="Calibri" w:eastAsia="宋体" w:cs="Times New Roman"/>
    </w:rPr>
  </w:style>
  <w:style w:type="paragraph" w:styleId="17">
    <w:name w:val="toc 2"/>
    <w:basedOn w:val="1"/>
    <w:next w:val="1"/>
    <w:unhideWhenUsed/>
    <w:qFormat/>
    <w:uiPriority w:val="39"/>
    <w:pPr>
      <w:ind w:left="420" w:leftChars="200"/>
    </w:pPr>
    <w:rPr>
      <w:rFonts w:ascii="Calibri" w:hAnsi="Calibri" w:eastAsia="宋体" w:cs="Times New Roman"/>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rPr>
      <w:rFonts w:ascii="Verdana" w:hAnsi="Verdana"/>
      <w:kern w:val="0"/>
      <w:sz w:val="20"/>
      <w:szCs w:val="20"/>
      <w:lang w:eastAsia="en-US"/>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customStyle="1" w:styleId="25">
    <w:name w:val="标题 1 字符"/>
    <w:basedOn w:val="21"/>
    <w:link w:val="2"/>
    <w:qFormat/>
    <w:uiPriority w:val="0"/>
    <w:rPr>
      <w:rFonts w:ascii="Calibri" w:hAnsi="Calibri" w:eastAsia="宋体" w:cs="Times New Roman"/>
      <w:b/>
      <w:sz w:val="36"/>
      <w:szCs w:val="24"/>
    </w:rPr>
  </w:style>
  <w:style w:type="character" w:customStyle="1" w:styleId="26">
    <w:name w:val="标题 2 字符"/>
    <w:basedOn w:val="21"/>
    <w:link w:val="3"/>
    <w:qFormat/>
    <w:uiPriority w:val="9"/>
    <w:rPr>
      <w:rFonts w:ascii="Arial" w:hAnsi="Arial" w:eastAsia="黑体" w:cs="Times New Roman"/>
      <w:b/>
      <w:bCs/>
      <w:sz w:val="32"/>
      <w:szCs w:val="32"/>
    </w:rPr>
  </w:style>
  <w:style w:type="character" w:customStyle="1" w:styleId="27">
    <w:name w:val="标题 3 字符"/>
    <w:basedOn w:val="21"/>
    <w:link w:val="4"/>
    <w:qFormat/>
    <w:uiPriority w:val="0"/>
    <w:rPr>
      <w:rFonts w:ascii="Calibri" w:hAnsi="Calibri" w:eastAsia="黑体" w:cs="Times New Roman"/>
      <w:b/>
      <w:sz w:val="24"/>
      <w:szCs w:val="20"/>
    </w:rPr>
  </w:style>
  <w:style w:type="character" w:customStyle="1" w:styleId="28">
    <w:name w:val="标题 4 字符"/>
    <w:basedOn w:val="21"/>
    <w:link w:val="5"/>
    <w:qFormat/>
    <w:uiPriority w:val="0"/>
    <w:rPr>
      <w:rFonts w:ascii="Arial" w:hAnsi="Arial" w:eastAsia="楷体_GB2312" w:cs="Times New Roman"/>
      <w:b/>
      <w:sz w:val="24"/>
      <w:szCs w:val="20"/>
    </w:rPr>
  </w:style>
  <w:style w:type="paragraph" w:styleId="29">
    <w:name w:val="List Paragraph"/>
    <w:basedOn w:val="1"/>
    <w:qFormat/>
    <w:uiPriority w:val="0"/>
    <w:pPr>
      <w:ind w:firstLine="420" w:firstLineChars="200"/>
    </w:pPr>
  </w:style>
  <w:style w:type="character" w:customStyle="1" w:styleId="30">
    <w:name w:val="页眉 字符"/>
    <w:basedOn w:val="21"/>
    <w:link w:val="15"/>
    <w:qFormat/>
    <w:uiPriority w:val="0"/>
    <w:rPr>
      <w:sz w:val="18"/>
      <w:szCs w:val="18"/>
    </w:rPr>
  </w:style>
  <w:style w:type="character" w:customStyle="1" w:styleId="31">
    <w:name w:val="页脚 字符"/>
    <w:basedOn w:val="21"/>
    <w:link w:val="14"/>
    <w:qFormat/>
    <w:uiPriority w:val="99"/>
    <w:rPr>
      <w:sz w:val="18"/>
      <w:szCs w:val="18"/>
    </w:rPr>
  </w:style>
  <w:style w:type="character" w:customStyle="1" w:styleId="32">
    <w:name w:val="书籍标题1"/>
    <w:qFormat/>
    <w:uiPriority w:val="33"/>
    <w:rPr>
      <w:b/>
      <w:bCs/>
      <w:i/>
      <w:iCs/>
      <w:spacing w:val="5"/>
    </w:rPr>
  </w:style>
  <w:style w:type="paragraph" w:customStyle="1" w:styleId="33">
    <w:name w:val="附件"/>
    <w:basedOn w:val="1"/>
    <w:link w:val="49"/>
    <w:qFormat/>
    <w:uiPriority w:val="0"/>
    <w:pPr>
      <w:spacing w:line="362" w:lineRule="exact"/>
    </w:pPr>
    <w:rPr>
      <w:rFonts w:ascii="Times New Roman" w:hAnsi="Times New Roman" w:eastAsia="方正黑体简体" w:cs="Times New Roman"/>
      <w:sz w:val="28"/>
      <w:szCs w:val="28"/>
    </w:rPr>
  </w:style>
  <w:style w:type="paragraph" w:customStyle="1" w:styleId="34">
    <w:name w:val="表题"/>
    <w:basedOn w:val="1"/>
    <w:qFormat/>
    <w:uiPriority w:val="0"/>
    <w:pPr>
      <w:spacing w:afterLines="20" w:line="362" w:lineRule="exact"/>
      <w:jc w:val="center"/>
    </w:pPr>
    <w:rPr>
      <w:rFonts w:ascii="Times New Roman" w:hAnsi="Times New Roman" w:eastAsia="方正黑体简体" w:cs="Times New Roman"/>
      <w:sz w:val="24"/>
      <w:szCs w:val="24"/>
    </w:rPr>
  </w:style>
  <w:style w:type="paragraph" w:customStyle="1" w:styleId="35">
    <w:name w:val="表内容行距１"/>
    <w:basedOn w:val="36"/>
    <w:qFormat/>
    <w:uiPriority w:val="0"/>
    <w:pPr>
      <w:spacing w:line="300" w:lineRule="exact"/>
    </w:pPr>
  </w:style>
  <w:style w:type="paragraph" w:customStyle="1" w:styleId="36">
    <w:name w:val="表内容行距"/>
    <w:basedOn w:val="37"/>
    <w:qFormat/>
    <w:uiPriority w:val="0"/>
    <w:pPr>
      <w:spacing w:line="340" w:lineRule="exact"/>
    </w:pPr>
  </w:style>
  <w:style w:type="paragraph" w:customStyle="1" w:styleId="37">
    <w:name w:val="表内容"/>
    <w:basedOn w:val="33"/>
    <w:qFormat/>
    <w:uiPriority w:val="0"/>
    <w:pPr>
      <w:spacing w:line="240" w:lineRule="exact"/>
      <w:ind w:firstLine="100" w:firstLineChars="100"/>
    </w:pPr>
    <w:rPr>
      <w:rFonts w:eastAsia="方正书宋简体"/>
      <w:sz w:val="21"/>
      <w:szCs w:val="21"/>
    </w:rPr>
  </w:style>
  <w:style w:type="paragraph" w:customStyle="1" w:styleId="38">
    <w:name w:val="a1"/>
    <w:basedOn w:val="1"/>
    <w:qFormat/>
    <w:uiPriority w:val="0"/>
    <w:pPr>
      <w:spacing w:line="300" w:lineRule="auto"/>
      <w:ind w:firstLine="493"/>
    </w:pPr>
    <w:rPr>
      <w:rFonts w:ascii="宋体" w:hAnsi="Calibri" w:eastAsia="宋体" w:cs="Times New Roman"/>
      <w:sz w:val="24"/>
      <w:szCs w:val="20"/>
    </w:rPr>
  </w:style>
  <w:style w:type="character" w:customStyle="1" w:styleId="39">
    <w:name w:val="日期 字符"/>
    <w:basedOn w:val="21"/>
    <w:link w:val="11"/>
    <w:qFormat/>
    <w:uiPriority w:val="0"/>
    <w:rPr>
      <w:rFonts w:ascii="Times New Roman" w:hAnsi="Times New Roman" w:eastAsia="宋体" w:cs="Times New Roman"/>
      <w:szCs w:val="24"/>
    </w:rPr>
  </w:style>
  <w:style w:type="character" w:customStyle="1" w:styleId="40">
    <w:name w:val="正文文本缩进 字符"/>
    <w:basedOn w:val="21"/>
    <w:link w:val="8"/>
    <w:qFormat/>
    <w:uiPriority w:val="0"/>
    <w:rPr>
      <w:rFonts w:ascii="Calibri" w:hAnsi="Calibri" w:eastAsia="宋体" w:cs="Times New Roman"/>
      <w:szCs w:val="24"/>
    </w:rPr>
  </w:style>
  <w:style w:type="paragraph" w:customStyle="1" w:styleId="41">
    <w:name w:val="列出段落1"/>
    <w:basedOn w:val="42"/>
    <w:qFormat/>
    <w:uiPriority w:val="0"/>
    <w:pPr>
      <w:ind w:firstLine="420" w:firstLineChars="200"/>
    </w:pPr>
  </w:style>
  <w:style w:type="paragraph" w:customStyle="1" w:styleId="42">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43">
    <w:name w:val="样式3"/>
    <w:basedOn w:val="1"/>
    <w:qFormat/>
    <w:uiPriority w:val="0"/>
    <w:pPr>
      <w:outlineLvl w:val="2"/>
    </w:pPr>
    <w:rPr>
      <w:rFonts w:ascii="Times New Roman" w:hAnsi="Times New Roman" w:eastAsia="黑体" w:cs="Times New Roman"/>
      <w:sz w:val="24"/>
      <w:szCs w:val="24"/>
    </w:rPr>
  </w:style>
  <w:style w:type="character" w:customStyle="1" w:styleId="44">
    <w:name w:val="正文文本缩进 2 字符"/>
    <w:basedOn w:val="21"/>
    <w:link w:val="12"/>
    <w:semiHidden/>
    <w:qFormat/>
    <w:uiPriority w:val="99"/>
    <w:rPr>
      <w:rFonts w:ascii="Calibri" w:hAnsi="Calibri" w:eastAsia="宋体" w:cs="Times New Roman"/>
    </w:rPr>
  </w:style>
  <w:style w:type="character" w:customStyle="1" w:styleId="45">
    <w:name w:val="批注框文本 字符"/>
    <w:basedOn w:val="21"/>
    <w:link w:val="13"/>
    <w:semiHidden/>
    <w:qFormat/>
    <w:uiPriority w:val="0"/>
    <w:rPr>
      <w:rFonts w:ascii="Times New Roman" w:hAnsi="Times New Roman" w:eastAsia="宋体" w:cs="Times New Roman"/>
      <w:sz w:val="18"/>
      <w:szCs w:val="18"/>
    </w:rPr>
  </w:style>
  <w:style w:type="character" w:customStyle="1" w:styleId="46">
    <w:name w:val="lily"/>
    <w:basedOn w:val="21"/>
    <w:qFormat/>
    <w:uiPriority w:val="0"/>
  </w:style>
  <w:style w:type="character" w:customStyle="1" w:styleId="47">
    <w:name w:val="center-nr"/>
    <w:basedOn w:val="21"/>
    <w:qFormat/>
    <w:uiPriority w:val="0"/>
  </w:style>
  <w:style w:type="character" w:customStyle="1" w:styleId="48">
    <w:name w:val="time"/>
    <w:basedOn w:val="21"/>
    <w:qFormat/>
    <w:uiPriority w:val="0"/>
  </w:style>
  <w:style w:type="character" w:customStyle="1" w:styleId="49">
    <w:name w:val="附件 Char"/>
    <w:basedOn w:val="21"/>
    <w:link w:val="33"/>
    <w:qFormat/>
    <w:uiPriority w:val="0"/>
    <w:rPr>
      <w:rFonts w:ascii="Times New Roman" w:hAnsi="Times New Roman" w:eastAsia="方正黑体简体" w:cs="Times New Roman"/>
      <w:sz w:val="28"/>
      <w:szCs w:val="28"/>
    </w:rPr>
  </w:style>
  <w:style w:type="paragraph" w:customStyle="1" w:styleId="50">
    <w:name w:val="TOC 标题1"/>
    <w:basedOn w:val="2"/>
    <w:next w:val="1"/>
    <w:semiHidden/>
    <w:unhideWhenUsed/>
    <w:qFormat/>
    <w:uiPriority w:val="39"/>
    <w:pPr>
      <w:keepNext/>
      <w:keepLines/>
      <w:widowControl/>
      <w:spacing w:before="480" w:line="276" w:lineRule="auto"/>
      <w:jc w:val="left"/>
      <w:outlineLvl w:val="9"/>
    </w:pPr>
    <w:rPr>
      <w:rFonts w:ascii="Cambria" w:hAnsi="Cambria"/>
      <w:bCs/>
      <w:color w:val="365F91"/>
      <w:kern w:val="0"/>
      <w:sz w:val="28"/>
      <w:szCs w:val="28"/>
    </w:rPr>
  </w:style>
  <w:style w:type="character" w:customStyle="1" w:styleId="51">
    <w:name w:val="书籍标题2"/>
    <w:qFormat/>
    <w:uiPriority w:val="33"/>
    <w:rPr>
      <w:b/>
      <w:bCs/>
      <w:i/>
      <w:iCs/>
      <w:spacing w:val="5"/>
    </w:rPr>
  </w:style>
  <w:style w:type="character" w:customStyle="1" w:styleId="52">
    <w:name w:val="纯文本 字符"/>
    <w:basedOn w:val="21"/>
    <w:link w:val="10"/>
    <w:qFormat/>
    <w:uiPriority w:val="0"/>
    <w:rPr>
      <w:rFonts w:ascii="宋体" w:hAnsi="Courier New" w:eastAsia="宋体" w:cs="黑体"/>
      <w:szCs w:val="21"/>
    </w:rPr>
  </w:style>
  <w:style w:type="paragraph" w:customStyle="1" w:styleId="53">
    <w:name w:val="样式2"/>
    <w:basedOn w:val="2"/>
    <w:qFormat/>
    <w:uiPriority w:val="0"/>
    <w:pPr>
      <w:keepNext/>
      <w:keepLines/>
      <w:spacing w:before="340" w:after="330" w:line="576" w:lineRule="auto"/>
    </w:pPr>
    <w:rPr>
      <w:rFonts w:ascii="Times New Roman" w:hAnsi="Times New Roman" w:eastAsia="Times New Roman"/>
      <w:bCs/>
      <w:kern w:val="44"/>
      <w:sz w:val="32"/>
      <w:szCs w:val="44"/>
    </w:rPr>
  </w:style>
  <w:style w:type="paragraph" w:customStyle="1" w:styleId="54">
    <w:name w:val="样式1"/>
    <w:basedOn w:val="1"/>
    <w:qFormat/>
    <w:uiPriority w:val="0"/>
  </w:style>
  <w:style w:type="character" w:customStyle="1" w:styleId="55">
    <w:name w:val="正文文本 字符"/>
    <w:basedOn w:val="21"/>
    <w:link w:val="7"/>
    <w:semiHidden/>
    <w:qFormat/>
    <w:uiPriority w:val="99"/>
    <w:rPr>
      <w:kern w:val="2"/>
      <w:sz w:val="21"/>
      <w:szCs w:val="22"/>
      <w:lang w:bidi="ar-SA"/>
    </w:rPr>
  </w:style>
  <w:style w:type="paragraph" w:customStyle="1" w:styleId="56">
    <w:name w:val="TOC Heading"/>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lang w:bidi="mn-Mong-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AA939-68A5-4C1A-8D17-AD9858672B59}">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10104</Words>
  <Characters>10626</Characters>
  <Lines>356</Lines>
  <Paragraphs>353</Paragraphs>
  <TotalTime>24</TotalTime>
  <ScaleCrop>false</ScaleCrop>
  <LinksUpToDate>false</LinksUpToDate>
  <CharactersWithSpaces>10816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2019-08-19T07:47:00Z</dcterms:created>
  <dc:creator>Administrator</dc:creator>
  <cp:lastModifiedBy>SunnyLi</cp:lastModifiedBy>
  <cp:lastPrinted>2022-05-06T12:24:00Z</cp:lastPrinted>
  <dcterms:modified xsi:type="dcterms:W3CDTF">2022-05-16T07:16:16Z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D483944B312C460DB6DFC42A77237855</vt:lpwstr>
  </property>
</Properties>
</file>